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B6AC6" w14:textId="61F3100A" w:rsidR="00CE0CBB" w:rsidRDefault="00CE0CBB" w:rsidP="00CE0CBB">
      <w:pPr>
        <w:rPr>
          <w:rFonts w:ascii="Arial" w:hAnsi="Arial" w:cs="Arial"/>
          <w:b/>
          <w:sz w:val="28"/>
          <w:szCs w:val="28"/>
        </w:rPr>
      </w:pPr>
    </w:p>
    <w:p w14:paraId="6D990469" w14:textId="44BB4665" w:rsidR="00CE0CBB" w:rsidRDefault="00D755EF" w:rsidP="00CE0CBB">
      <w:pPr>
        <w:rPr>
          <w:rFonts w:ascii="Arial" w:hAnsi="Arial" w:cs="Arial"/>
          <w:b/>
          <w:sz w:val="28"/>
          <w:szCs w:val="28"/>
        </w:rPr>
      </w:pPr>
      <w:r>
        <w:rPr>
          <w:noProof/>
        </w:rPr>
        <w:drawing>
          <wp:anchor distT="0" distB="0" distL="114300" distR="114300" simplePos="0" relativeHeight="251658240" behindDoc="0" locked="0" layoutInCell="1" allowOverlap="1" wp14:anchorId="62F17C0E" wp14:editId="60E16F7C">
            <wp:simplePos x="0" y="0"/>
            <wp:positionH relativeFrom="column">
              <wp:posOffset>2181225</wp:posOffset>
            </wp:positionH>
            <wp:positionV relativeFrom="paragraph">
              <wp:posOffset>9525</wp:posOffset>
            </wp:positionV>
            <wp:extent cx="1257300" cy="12477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247775"/>
                    </a:xfrm>
                    <a:prstGeom prst="rect">
                      <a:avLst/>
                    </a:prstGeom>
                    <a:noFill/>
                    <a:ln>
                      <a:noFill/>
                    </a:ln>
                  </pic:spPr>
                </pic:pic>
              </a:graphicData>
            </a:graphic>
          </wp:anchor>
        </w:drawing>
      </w:r>
      <w:r w:rsidR="00CE0CBB">
        <w:rPr>
          <w:rFonts w:ascii="Arial" w:hAnsi="Arial" w:cs="Arial"/>
          <w:b/>
          <w:sz w:val="28"/>
          <w:szCs w:val="28"/>
        </w:rPr>
        <w:br w:type="textWrapping" w:clear="all"/>
      </w:r>
    </w:p>
    <w:p w14:paraId="224B3478" w14:textId="77777777" w:rsidR="00CE0CBB" w:rsidRDefault="00CE0CBB" w:rsidP="00CE0CBB">
      <w:pPr>
        <w:jc w:val="center"/>
        <w:rPr>
          <w:rFonts w:ascii="Arial" w:hAnsi="Arial" w:cs="Arial"/>
          <w:b/>
          <w:sz w:val="28"/>
          <w:szCs w:val="28"/>
        </w:rPr>
      </w:pPr>
    </w:p>
    <w:p w14:paraId="3A28B10B" w14:textId="77777777" w:rsidR="00CE0CBB" w:rsidRDefault="00CE0CBB" w:rsidP="00CE0CBB">
      <w:pPr>
        <w:jc w:val="center"/>
        <w:rPr>
          <w:rFonts w:ascii="Arial" w:hAnsi="Arial" w:cs="Arial"/>
          <w:b/>
        </w:rPr>
      </w:pPr>
      <w:r>
        <w:rPr>
          <w:rFonts w:ascii="Arial" w:hAnsi="Arial" w:cs="Arial"/>
          <w:b/>
        </w:rPr>
        <w:t>MAGISTRATES’ COURTS JUDICIARY</w:t>
      </w:r>
    </w:p>
    <w:p w14:paraId="461CB77B" w14:textId="77777777" w:rsidR="00CE0CBB" w:rsidRDefault="00CE0CBB" w:rsidP="00CE0CBB">
      <w:pPr>
        <w:jc w:val="center"/>
        <w:outlineLvl w:val="0"/>
        <w:rPr>
          <w:rFonts w:ascii="Arial" w:hAnsi="Arial" w:cs="Arial"/>
          <w:b/>
        </w:rPr>
      </w:pPr>
      <w:r>
        <w:rPr>
          <w:rFonts w:ascii="Arial" w:hAnsi="Arial" w:cs="Arial"/>
          <w:b/>
        </w:rPr>
        <w:t>REPUBLIC OF SOUTH AFRICA</w:t>
      </w:r>
    </w:p>
    <w:p w14:paraId="56B7C445" w14:textId="77777777" w:rsidR="003E739B" w:rsidRDefault="003E739B"/>
    <w:p w14:paraId="6F29D592" w14:textId="77777777" w:rsidR="00D755EF" w:rsidRDefault="00D755EF"/>
    <w:p w14:paraId="49EFCA29" w14:textId="77777777" w:rsidR="00D755EF" w:rsidRPr="00D755EF" w:rsidRDefault="00D755EF" w:rsidP="00D755EF">
      <w:pPr>
        <w:pBdr>
          <w:top w:val="single" w:sz="12" w:space="1" w:color="auto"/>
          <w:bottom w:val="single" w:sz="12" w:space="1" w:color="auto"/>
        </w:pBdr>
        <w:spacing w:after="200" w:line="276" w:lineRule="auto"/>
        <w:rPr>
          <w:rFonts w:ascii="Century Gothic" w:eastAsiaTheme="minorHAnsi" w:hAnsi="Century Gothic" w:cstheme="minorBidi"/>
          <w:b/>
          <w:i/>
          <w:sz w:val="32"/>
          <w:szCs w:val="32"/>
          <w:lang w:eastAsia="en-US"/>
        </w:rPr>
      </w:pPr>
    </w:p>
    <w:p w14:paraId="0D78A5FE" w14:textId="6E578587" w:rsidR="00D755EF" w:rsidRPr="00D755EF" w:rsidRDefault="00D755EF" w:rsidP="00D755EF">
      <w:pPr>
        <w:pBdr>
          <w:top w:val="single" w:sz="12" w:space="1" w:color="auto"/>
          <w:bottom w:val="single" w:sz="12" w:space="1" w:color="auto"/>
        </w:pBdr>
        <w:spacing w:after="200" w:line="276" w:lineRule="auto"/>
        <w:jc w:val="center"/>
        <w:rPr>
          <w:rFonts w:ascii="Century Gothic" w:eastAsiaTheme="minorHAnsi" w:hAnsi="Century Gothic" w:cstheme="minorBidi"/>
          <w:b/>
          <w:i/>
          <w:sz w:val="32"/>
          <w:szCs w:val="32"/>
          <w:lang w:eastAsia="en-US"/>
        </w:rPr>
      </w:pPr>
      <w:r w:rsidRPr="00D755EF">
        <w:rPr>
          <w:rFonts w:ascii="Century Gothic" w:eastAsiaTheme="minorHAnsi" w:hAnsi="Century Gothic" w:cstheme="minorBidi"/>
          <w:b/>
          <w:i/>
          <w:sz w:val="32"/>
          <w:szCs w:val="32"/>
          <w:lang w:eastAsia="en-US"/>
        </w:rPr>
        <w:t>IN THE MAGISTRATES’ COURT FOR THE DISTRICT OF MTHATHA</w:t>
      </w:r>
      <w:r w:rsidR="00416EEC">
        <w:rPr>
          <w:rFonts w:ascii="Century Gothic" w:eastAsiaTheme="minorHAnsi" w:hAnsi="Century Gothic" w:cstheme="minorBidi"/>
          <w:b/>
          <w:i/>
          <w:sz w:val="32"/>
          <w:szCs w:val="32"/>
          <w:lang w:eastAsia="en-US"/>
        </w:rPr>
        <w:t xml:space="preserve"> </w:t>
      </w:r>
      <w:r w:rsidRPr="00D755EF">
        <w:rPr>
          <w:rFonts w:ascii="Century Gothic" w:eastAsiaTheme="minorHAnsi" w:hAnsi="Century Gothic" w:cstheme="minorBidi"/>
          <w:b/>
          <w:i/>
          <w:sz w:val="32"/>
          <w:szCs w:val="32"/>
          <w:lang w:eastAsia="en-US"/>
        </w:rPr>
        <w:t>HELD AT MTHATHA</w:t>
      </w:r>
    </w:p>
    <w:p w14:paraId="6884A743" w14:textId="77777777" w:rsidR="00D755EF" w:rsidRPr="00D755EF" w:rsidRDefault="00D755EF" w:rsidP="00D755EF">
      <w:pPr>
        <w:pBdr>
          <w:top w:val="single" w:sz="12" w:space="1" w:color="auto"/>
          <w:bottom w:val="single" w:sz="12" w:space="1" w:color="auto"/>
        </w:pBdr>
        <w:spacing w:after="200" w:line="276" w:lineRule="auto"/>
        <w:jc w:val="center"/>
        <w:rPr>
          <w:rFonts w:ascii="Century Gothic" w:eastAsiaTheme="minorHAnsi" w:hAnsi="Century Gothic" w:cstheme="minorBidi"/>
          <w:b/>
          <w:i/>
          <w:sz w:val="32"/>
          <w:szCs w:val="32"/>
          <w:lang w:eastAsia="en-US"/>
        </w:rPr>
      </w:pPr>
    </w:p>
    <w:p w14:paraId="441192B3" w14:textId="77777777" w:rsidR="00D755EF" w:rsidRPr="00D755EF" w:rsidRDefault="00D755EF" w:rsidP="00D755EF">
      <w:pPr>
        <w:spacing w:after="200" w:line="276" w:lineRule="auto"/>
        <w:jc w:val="right"/>
        <w:rPr>
          <w:rFonts w:ascii="Century Gothic" w:eastAsiaTheme="minorHAnsi" w:hAnsi="Century Gothic" w:cstheme="minorBidi"/>
          <w:lang w:eastAsia="en-US"/>
        </w:rPr>
      </w:pPr>
      <w:r w:rsidRPr="00D755EF">
        <w:rPr>
          <w:rFonts w:ascii="Century Gothic" w:eastAsiaTheme="minorHAnsi" w:hAnsi="Century Gothic" w:cstheme="minorBidi"/>
          <w:lang w:eastAsia="en-US"/>
        </w:rPr>
        <w:t>Children’s Court 14/1/4 – 258/2025</w:t>
      </w:r>
    </w:p>
    <w:p w14:paraId="7135C34D" w14:textId="77777777" w:rsidR="00D755EF" w:rsidRPr="00D755EF" w:rsidRDefault="00D755EF" w:rsidP="00D755EF">
      <w:pPr>
        <w:spacing w:after="200" w:line="276" w:lineRule="auto"/>
        <w:jc w:val="both"/>
        <w:rPr>
          <w:rFonts w:ascii="Century Gothic" w:eastAsiaTheme="minorHAnsi" w:hAnsi="Century Gothic" w:cstheme="minorBidi"/>
          <w:lang w:eastAsia="en-US"/>
        </w:rPr>
      </w:pPr>
      <w:r w:rsidRPr="00D755EF">
        <w:rPr>
          <w:rFonts w:ascii="Century Gothic" w:eastAsiaTheme="minorHAnsi" w:hAnsi="Century Gothic" w:cstheme="minorBidi"/>
          <w:b/>
          <w:lang w:eastAsia="en-US"/>
        </w:rPr>
        <w:t>In the matter between</w:t>
      </w:r>
      <w:r w:rsidRPr="00D755EF">
        <w:rPr>
          <w:rFonts w:ascii="Century Gothic" w:eastAsiaTheme="minorHAnsi" w:hAnsi="Century Gothic" w:cstheme="minorBidi"/>
          <w:lang w:eastAsia="en-US"/>
        </w:rPr>
        <w:t>: -</w:t>
      </w:r>
    </w:p>
    <w:p w14:paraId="36925EDA" w14:textId="77777777" w:rsidR="00D755EF" w:rsidRPr="00D755EF" w:rsidRDefault="00D755EF" w:rsidP="00D755EF">
      <w:pPr>
        <w:spacing w:after="200" w:line="276" w:lineRule="auto"/>
        <w:jc w:val="both"/>
        <w:rPr>
          <w:rFonts w:ascii="Century Gothic" w:eastAsiaTheme="minorHAnsi" w:hAnsi="Century Gothic" w:cstheme="minorBidi"/>
          <w:lang w:eastAsia="en-US"/>
        </w:rPr>
      </w:pPr>
    </w:p>
    <w:p w14:paraId="284DB108" w14:textId="4C6D5634" w:rsidR="00D755EF" w:rsidRPr="00D755EF" w:rsidRDefault="00D755EF" w:rsidP="00D755EF">
      <w:pPr>
        <w:spacing w:after="200" w:line="276" w:lineRule="auto"/>
        <w:rPr>
          <w:rFonts w:ascii="Century Gothic" w:eastAsiaTheme="minorHAnsi" w:hAnsi="Century Gothic" w:cstheme="minorBidi"/>
          <w:lang w:eastAsia="en-US"/>
        </w:rPr>
      </w:pPr>
      <w:r w:rsidRPr="00D755EF">
        <w:rPr>
          <w:rFonts w:ascii="Century Gothic" w:eastAsiaTheme="minorHAnsi" w:hAnsi="Century Gothic" w:cstheme="minorBidi"/>
          <w:lang w:eastAsia="en-US"/>
        </w:rPr>
        <w:t>N</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 xml:space="preserve"> C</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 xml:space="preserve"> S</w:t>
      </w:r>
      <w:r w:rsidR="002F189F">
        <w:rPr>
          <w:rFonts w:ascii="Century Gothic" w:eastAsiaTheme="minorHAnsi" w:hAnsi="Century Gothic" w:cstheme="minorBidi"/>
          <w:lang w:eastAsia="en-US"/>
        </w:rPr>
        <w:t>[….]</w:t>
      </w:r>
      <w:r w:rsidR="00624359">
        <w:rPr>
          <w:rStyle w:val="FootnoteReference"/>
          <w:rFonts w:ascii="Century Gothic" w:eastAsiaTheme="minorHAnsi" w:hAnsi="Century Gothic" w:cstheme="minorBidi"/>
          <w:lang w:eastAsia="en-US"/>
        </w:rPr>
        <w:footnoteReference w:id="1"/>
      </w:r>
      <w:r w:rsidR="002F189F">
        <w:rPr>
          <w:rFonts w:ascii="Century Gothic" w:eastAsiaTheme="minorHAnsi" w:hAnsi="Century Gothic" w:cstheme="minorBidi"/>
          <w:lang w:eastAsia="en-US"/>
        </w:rPr>
        <w:tab/>
      </w:r>
      <w:r w:rsidR="002F189F">
        <w:rPr>
          <w:rFonts w:ascii="Century Gothic" w:eastAsiaTheme="minorHAnsi" w:hAnsi="Century Gothic" w:cstheme="minorBidi"/>
          <w:lang w:eastAsia="en-US"/>
        </w:rPr>
        <w:tab/>
      </w:r>
      <w:r w:rsidR="002F189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t>APPLICANT</w:t>
      </w:r>
    </w:p>
    <w:p w14:paraId="478D3F98" w14:textId="77777777" w:rsidR="00D755EF" w:rsidRPr="00D755EF" w:rsidRDefault="00D755EF" w:rsidP="00D755EF">
      <w:pPr>
        <w:spacing w:after="200" w:line="276" w:lineRule="auto"/>
        <w:rPr>
          <w:rFonts w:ascii="Century Gothic" w:eastAsiaTheme="minorHAnsi" w:hAnsi="Century Gothic" w:cstheme="minorBidi"/>
          <w:lang w:eastAsia="en-US"/>
        </w:rPr>
      </w:pPr>
      <w:r w:rsidRPr="00D755EF">
        <w:rPr>
          <w:rFonts w:ascii="Century Gothic" w:eastAsiaTheme="minorHAnsi" w:hAnsi="Century Gothic" w:cstheme="minorBidi"/>
          <w:lang w:eastAsia="en-US"/>
        </w:rPr>
        <w:t>and</w:t>
      </w:r>
    </w:p>
    <w:p w14:paraId="10CD9332" w14:textId="22DCE261" w:rsidR="00D755EF" w:rsidRPr="00D755EF" w:rsidRDefault="00D755EF" w:rsidP="00D755EF">
      <w:pPr>
        <w:spacing w:after="200" w:line="276" w:lineRule="auto"/>
        <w:rPr>
          <w:rFonts w:ascii="Century Gothic" w:eastAsiaTheme="minorHAnsi" w:hAnsi="Century Gothic" w:cstheme="minorBidi"/>
          <w:lang w:eastAsia="en-US"/>
        </w:rPr>
      </w:pPr>
      <w:r w:rsidRPr="00D755EF">
        <w:rPr>
          <w:rFonts w:ascii="Century Gothic" w:eastAsiaTheme="minorHAnsi" w:hAnsi="Century Gothic" w:cstheme="minorBidi"/>
          <w:lang w:eastAsia="en-US"/>
        </w:rPr>
        <w:t>A</w:t>
      </w:r>
      <w:r w:rsidR="002F189F">
        <w:rPr>
          <w:rFonts w:ascii="Century Gothic" w:eastAsiaTheme="minorHAnsi" w:hAnsi="Century Gothic" w:cstheme="minorBidi"/>
          <w:lang w:eastAsia="en-US"/>
        </w:rPr>
        <w:t xml:space="preserve">[…] </w:t>
      </w:r>
      <w:r w:rsidRPr="00D755EF">
        <w:rPr>
          <w:rFonts w:ascii="Century Gothic" w:eastAsiaTheme="minorHAnsi" w:hAnsi="Century Gothic" w:cstheme="minorBidi"/>
          <w:lang w:eastAsia="en-US"/>
        </w:rPr>
        <w:t>V</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 xml:space="preserve"> N</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002F189F">
        <w:rPr>
          <w:rFonts w:ascii="Century Gothic" w:eastAsiaTheme="minorHAnsi" w:hAnsi="Century Gothic" w:cstheme="minorBidi"/>
          <w:lang w:eastAsia="en-US"/>
        </w:rPr>
        <w:tab/>
      </w:r>
      <w:r w:rsidRPr="00D755EF">
        <w:rPr>
          <w:rFonts w:ascii="Century Gothic" w:eastAsiaTheme="minorHAnsi" w:hAnsi="Century Gothic" w:cstheme="minorBidi"/>
          <w:lang w:eastAsia="en-US"/>
        </w:rPr>
        <w:t>1</w:t>
      </w:r>
      <w:r w:rsidRPr="00D755EF">
        <w:rPr>
          <w:rFonts w:ascii="Century Gothic" w:eastAsiaTheme="minorHAnsi" w:hAnsi="Century Gothic" w:cstheme="minorBidi"/>
          <w:vertAlign w:val="superscript"/>
          <w:lang w:eastAsia="en-US"/>
        </w:rPr>
        <w:t>st</w:t>
      </w:r>
      <w:r w:rsidRPr="00D755EF">
        <w:rPr>
          <w:rFonts w:ascii="Century Gothic" w:eastAsiaTheme="minorHAnsi" w:hAnsi="Century Gothic" w:cstheme="minorBidi"/>
          <w:lang w:eastAsia="en-US"/>
        </w:rPr>
        <w:t xml:space="preserve"> RESPONDENT</w:t>
      </w:r>
    </w:p>
    <w:p w14:paraId="3994AAFF" w14:textId="5F566737" w:rsidR="00D755EF" w:rsidRPr="00D755EF" w:rsidRDefault="00D755EF" w:rsidP="00D755EF">
      <w:pPr>
        <w:spacing w:after="200" w:line="276" w:lineRule="auto"/>
        <w:rPr>
          <w:rFonts w:ascii="Century Gothic" w:eastAsiaTheme="minorHAnsi" w:hAnsi="Century Gothic" w:cstheme="minorBidi"/>
          <w:lang w:eastAsia="en-US"/>
        </w:rPr>
      </w:pPr>
      <w:r w:rsidRPr="00D755EF">
        <w:rPr>
          <w:rFonts w:ascii="Century Gothic" w:eastAsiaTheme="minorHAnsi" w:hAnsi="Century Gothic" w:cstheme="minorBidi"/>
          <w:lang w:eastAsia="en-US"/>
        </w:rPr>
        <w:t>X</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 xml:space="preserve"> N</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002F189F">
        <w:rPr>
          <w:rFonts w:ascii="Century Gothic" w:eastAsiaTheme="minorHAnsi" w:hAnsi="Century Gothic" w:cstheme="minorBidi"/>
          <w:lang w:eastAsia="en-US"/>
        </w:rPr>
        <w:tab/>
      </w:r>
      <w:r w:rsidR="002F189F">
        <w:rPr>
          <w:rFonts w:ascii="Century Gothic" w:eastAsiaTheme="minorHAnsi" w:hAnsi="Century Gothic" w:cstheme="minorBidi"/>
          <w:lang w:eastAsia="en-US"/>
        </w:rPr>
        <w:tab/>
      </w:r>
      <w:r w:rsidRPr="00D755EF">
        <w:rPr>
          <w:rFonts w:ascii="Century Gothic" w:eastAsiaTheme="minorHAnsi" w:hAnsi="Century Gothic" w:cstheme="minorBidi"/>
          <w:lang w:eastAsia="en-US"/>
        </w:rPr>
        <w:t>2</w:t>
      </w:r>
      <w:r w:rsidRPr="00D755EF">
        <w:rPr>
          <w:rFonts w:ascii="Century Gothic" w:eastAsiaTheme="minorHAnsi" w:hAnsi="Century Gothic" w:cstheme="minorBidi"/>
          <w:vertAlign w:val="superscript"/>
          <w:lang w:eastAsia="en-US"/>
        </w:rPr>
        <w:t>nd</w:t>
      </w:r>
      <w:r w:rsidRPr="00D755EF">
        <w:rPr>
          <w:rFonts w:ascii="Century Gothic" w:eastAsiaTheme="minorHAnsi" w:hAnsi="Century Gothic" w:cstheme="minorBidi"/>
          <w:lang w:eastAsia="en-US"/>
        </w:rPr>
        <w:t xml:space="preserve"> </w:t>
      </w:r>
      <w:r>
        <w:rPr>
          <w:rFonts w:ascii="Century Gothic" w:eastAsiaTheme="minorHAnsi" w:hAnsi="Century Gothic" w:cstheme="minorBidi"/>
          <w:lang w:eastAsia="en-US"/>
        </w:rPr>
        <w:t>R</w:t>
      </w:r>
      <w:r w:rsidRPr="00D755EF">
        <w:rPr>
          <w:rFonts w:ascii="Century Gothic" w:eastAsiaTheme="minorHAnsi" w:hAnsi="Century Gothic" w:cstheme="minorBidi"/>
          <w:lang w:eastAsia="en-US"/>
        </w:rPr>
        <w:t>ESPONDENT</w:t>
      </w:r>
    </w:p>
    <w:p w14:paraId="1770DD91" w14:textId="32B3927F" w:rsidR="00D755EF" w:rsidRPr="00D755EF" w:rsidRDefault="00D755EF" w:rsidP="00D755EF">
      <w:pPr>
        <w:spacing w:after="200" w:line="276" w:lineRule="auto"/>
        <w:rPr>
          <w:rFonts w:ascii="Century Gothic" w:eastAsiaTheme="minorHAnsi" w:hAnsi="Century Gothic" w:cstheme="minorBidi"/>
          <w:lang w:eastAsia="en-US"/>
        </w:rPr>
      </w:pPr>
      <w:r w:rsidRPr="00D755EF">
        <w:rPr>
          <w:rFonts w:ascii="Century Gothic" w:eastAsiaTheme="minorHAnsi" w:hAnsi="Century Gothic" w:cstheme="minorBidi"/>
          <w:lang w:eastAsia="en-US"/>
        </w:rPr>
        <w:t>T</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 xml:space="preserve"> B</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 xml:space="preserve"> N</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002F189F">
        <w:rPr>
          <w:rFonts w:ascii="Century Gothic" w:eastAsiaTheme="minorHAnsi" w:hAnsi="Century Gothic" w:cstheme="minorBidi"/>
          <w:lang w:eastAsia="en-US"/>
        </w:rPr>
        <w:tab/>
      </w:r>
      <w:r w:rsidR="002F189F">
        <w:rPr>
          <w:rFonts w:ascii="Century Gothic" w:eastAsiaTheme="minorHAnsi" w:hAnsi="Century Gothic" w:cstheme="minorBidi"/>
          <w:lang w:eastAsia="en-US"/>
        </w:rPr>
        <w:tab/>
      </w:r>
      <w:r w:rsidRPr="00D755EF">
        <w:rPr>
          <w:rFonts w:ascii="Century Gothic" w:eastAsiaTheme="minorHAnsi" w:hAnsi="Century Gothic" w:cstheme="minorBidi"/>
          <w:lang w:eastAsia="en-US"/>
        </w:rPr>
        <w:t>3</w:t>
      </w:r>
      <w:r w:rsidRPr="00D755EF">
        <w:rPr>
          <w:rFonts w:ascii="Century Gothic" w:eastAsiaTheme="minorHAnsi" w:hAnsi="Century Gothic" w:cstheme="minorBidi"/>
          <w:vertAlign w:val="superscript"/>
          <w:lang w:eastAsia="en-US"/>
        </w:rPr>
        <w:t>rd</w:t>
      </w:r>
      <w:r w:rsidRPr="00D755EF">
        <w:rPr>
          <w:rFonts w:ascii="Century Gothic" w:eastAsiaTheme="minorHAnsi" w:hAnsi="Century Gothic" w:cstheme="minorBidi"/>
          <w:lang w:eastAsia="en-US"/>
        </w:rPr>
        <w:t xml:space="preserve"> RESPONDENT</w:t>
      </w:r>
    </w:p>
    <w:p w14:paraId="5FF0D0DA" w14:textId="56221BA8" w:rsidR="00D755EF" w:rsidRPr="00D755EF" w:rsidRDefault="00D755EF" w:rsidP="00D755EF">
      <w:pPr>
        <w:spacing w:after="200" w:line="276" w:lineRule="auto"/>
        <w:rPr>
          <w:rFonts w:ascii="Century Gothic" w:eastAsiaTheme="minorHAnsi" w:hAnsi="Century Gothic" w:cstheme="minorBidi"/>
          <w:lang w:eastAsia="en-US"/>
        </w:rPr>
      </w:pPr>
      <w:r w:rsidRPr="00D755EF">
        <w:rPr>
          <w:rFonts w:ascii="Century Gothic" w:eastAsiaTheme="minorHAnsi" w:hAnsi="Century Gothic" w:cstheme="minorBidi"/>
          <w:lang w:eastAsia="en-US"/>
        </w:rPr>
        <w:t>B</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 xml:space="preserve"> N</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002F189F">
        <w:rPr>
          <w:rFonts w:ascii="Century Gothic" w:eastAsiaTheme="minorHAnsi" w:hAnsi="Century Gothic" w:cstheme="minorBidi"/>
          <w:lang w:eastAsia="en-US"/>
        </w:rPr>
        <w:tab/>
      </w:r>
      <w:r w:rsidRPr="00D755EF">
        <w:rPr>
          <w:rFonts w:ascii="Century Gothic" w:eastAsiaTheme="minorHAnsi" w:hAnsi="Century Gothic" w:cstheme="minorBidi"/>
          <w:lang w:eastAsia="en-US"/>
        </w:rPr>
        <w:t>4</w:t>
      </w:r>
      <w:r w:rsidRPr="00D755EF">
        <w:rPr>
          <w:rFonts w:ascii="Century Gothic" w:eastAsiaTheme="minorHAnsi" w:hAnsi="Century Gothic" w:cstheme="minorBidi"/>
          <w:vertAlign w:val="superscript"/>
          <w:lang w:eastAsia="en-US"/>
        </w:rPr>
        <w:t>th</w:t>
      </w:r>
      <w:r w:rsidRPr="00D755EF">
        <w:rPr>
          <w:rFonts w:ascii="Century Gothic" w:eastAsiaTheme="minorHAnsi" w:hAnsi="Century Gothic" w:cstheme="minorBidi"/>
          <w:lang w:eastAsia="en-US"/>
        </w:rPr>
        <w:t xml:space="preserve"> RESPONDENT</w:t>
      </w:r>
    </w:p>
    <w:p w14:paraId="3489187B" w14:textId="64826666" w:rsidR="00D755EF" w:rsidRPr="00D755EF" w:rsidRDefault="00D755EF" w:rsidP="00D755EF">
      <w:pPr>
        <w:spacing w:after="200" w:line="276" w:lineRule="auto"/>
        <w:rPr>
          <w:rFonts w:ascii="Century Gothic" w:eastAsiaTheme="minorHAnsi" w:hAnsi="Century Gothic" w:cstheme="minorBidi"/>
          <w:lang w:eastAsia="en-US"/>
        </w:rPr>
      </w:pPr>
      <w:r w:rsidRPr="00D755EF">
        <w:rPr>
          <w:rFonts w:ascii="Century Gothic" w:eastAsiaTheme="minorHAnsi" w:hAnsi="Century Gothic" w:cstheme="minorBidi"/>
          <w:lang w:eastAsia="en-US"/>
        </w:rPr>
        <w:t>Z</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 xml:space="preserve"> N</w:t>
      </w:r>
      <w:r w:rsidR="002F189F">
        <w:rPr>
          <w:rFonts w:ascii="Century Gothic" w:eastAsiaTheme="minorHAnsi" w:hAnsi="Century Gothic" w:cstheme="minorBidi"/>
          <w:lang w:eastAsia="en-US"/>
        </w:rPr>
        <w:t>[…]</w:t>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Pr="00D755EF">
        <w:rPr>
          <w:rFonts w:ascii="Century Gothic" w:eastAsiaTheme="minorHAnsi" w:hAnsi="Century Gothic" w:cstheme="minorBidi"/>
          <w:lang w:eastAsia="en-US"/>
        </w:rPr>
        <w:tab/>
      </w:r>
      <w:r w:rsidR="002F189F">
        <w:rPr>
          <w:rFonts w:ascii="Century Gothic" w:eastAsiaTheme="minorHAnsi" w:hAnsi="Century Gothic" w:cstheme="minorBidi"/>
          <w:lang w:eastAsia="en-US"/>
        </w:rPr>
        <w:tab/>
      </w:r>
      <w:r w:rsidR="002F189F">
        <w:rPr>
          <w:rFonts w:ascii="Century Gothic" w:eastAsiaTheme="minorHAnsi" w:hAnsi="Century Gothic" w:cstheme="minorBidi"/>
          <w:lang w:eastAsia="en-US"/>
        </w:rPr>
        <w:tab/>
      </w:r>
      <w:r w:rsidR="002F189F">
        <w:rPr>
          <w:rFonts w:ascii="Century Gothic" w:eastAsiaTheme="minorHAnsi" w:hAnsi="Century Gothic" w:cstheme="minorBidi"/>
          <w:lang w:eastAsia="en-US"/>
        </w:rPr>
        <w:tab/>
      </w:r>
      <w:r w:rsidRPr="00D755EF">
        <w:rPr>
          <w:rFonts w:ascii="Century Gothic" w:eastAsiaTheme="minorHAnsi" w:hAnsi="Century Gothic" w:cstheme="minorBidi"/>
          <w:lang w:eastAsia="en-US"/>
        </w:rPr>
        <w:t>5</w:t>
      </w:r>
      <w:r w:rsidRPr="00D755EF">
        <w:rPr>
          <w:rFonts w:ascii="Century Gothic" w:eastAsiaTheme="minorHAnsi" w:hAnsi="Century Gothic" w:cstheme="minorBidi"/>
          <w:vertAlign w:val="superscript"/>
          <w:lang w:eastAsia="en-US"/>
        </w:rPr>
        <w:t>th</w:t>
      </w:r>
      <w:r w:rsidRPr="00D755EF">
        <w:rPr>
          <w:rFonts w:ascii="Century Gothic" w:eastAsiaTheme="minorHAnsi" w:hAnsi="Century Gothic" w:cstheme="minorBidi"/>
          <w:lang w:eastAsia="en-US"/>
        </w:rPr>
        <w:t xml:space="preserve"> RESPONDENT</w:t>
      </w:r>
    </w:p>
    <w:p w14:paraId="0A7D05FF" w14:textId="77777777" w:rsidR="00D755EF" w:rsidRPr="00D755EF" w:rsidRDefault="00D755EF" w:rsidP="00D755EF">
      <w:pPr>
        <w:spacing w:after="200" w:line="276" w:lineRule="auto"/>
        <w:rPr>
          <w:rFonts w:ascii="Century Gothic" w:eastAsiaTheme="minorHAnsi" w:hAnsi="Century Gothic" w:cstheme="minorBidi"/>
          <w:lang w:eastAsia="en-US"/>
        </w:rPr>
      </w:pPr>
    </w:p>
    <w:p w14:paraId="795BBCE8" w14:textId="77777777" w:rsidR="00D755EF" w:rsidRPr="00D755EF" w:rsidRDefault="00D755EF" w:rsidP="00D755EF">
      <w:pPr>
        <w:pBdr>
          <w:top w:val="single" w:sz="12" w:space="1" w:color="auto"/>
          <w:bottom w:val="single" w:sz="12" w:space="1" w:color="auto"/>
        </w:pBdr>
        <w:spacing w:after="200" w:line="360" w:lineRule="auto"/>
        <w:jc w:val="center"/>
        <w:rPr>
          <w:rFonts w:ascii="Century Gothic" w:eastAsiaTheme="minorHAnsi" w:hAnsi="Century Gothic" w:cstheme="minorBidi"/>
          <w:b/>
          <w:sz w:val="32"/>
          <w:szCs w:val="32"/>
          <w:lang w:eastAsia="en-US"/>
        </w:rPr>
      </w:pPr>
      <w:r w:rsidRPr="00D755EF">
        <w:rPr>
          <w:rFonts w:ascii="Century Gothic" w:eastAsiaTheme="minorHAnsi" w:hAnsi="Century Gothic" w:cstheme="minorBidi"/>
          <w:b/>
          <w:sz w:val="32"/>
          <w:szCs w:val="32"/>
          <w:lang w:eastAsia="en-US"/>
        </w:rPr>
        <w:lastRenderedPageBreak/>
        <w:t>JUDGMENT: APPLICATION IN TERMS OF S.23(1) CHILDREN’S ACT, 38 OF 2005: CARE AND CONTACT, INCLUDING PERMANENT RESIDENCE</w:t>
      </w:r>
    </w:p>
    <w:p w14:paraId="29464372" w14:textId="41E6E93A" w:rsidR="00134F02" w:rsidRPr="002F189F" w:rsidRDefault="00D755EF" w:rsidP="00D755EF">
      <w:pPr>
        <w:spacing w:before="240" w:after="200" w:line="480" w:lineRule="auto"/>
        <w:rPr>
          <w:rFonts w:asciiTheme="minorHAnsi" w:eastAsiaTheme="minorHAnsi" w:hAnsiTheme="minorHAnsi" w:cstheme="minorHAnsi"/>
          <w:color w:val="000000" w:themeColor="text1"/>
          <w:lang w:eastAsia="en-US"/>
        </w:rPr>
      </w:pPr>
      <w:r w:rsidRPr="002F189F">
        <w:rPr>
          <w:rFonts w:asciiTheme="minorHAnsi" w:eastAsiaTheme="minorHAnsi" w:hAnsiTheme="minorHAnsi" w:cstheme="minorHAnsi"/>
          <w:lang w:eastAsia="en-US"/>
        </w:rPr>
        <w:t>[1] “…</w:t>
      </w:r>
      <w:r w:rsidRPr="002F189F">
        <w:rPr>
          <w:rFonts w:asciiTheme="minorHAnsi" w:eastAsiaTheme="minorHAnsi" w:hAnsiTheme="minorHAnsi" w:cstheme="minorHAnsi"/>
          <w:color w:val="000000" w:themeColor="text1"/>
          <w:lang w:eastAsia="en-US"/>
        </w:rPr>
        <w:t>every child has the rights set out in section 28 of the Constitution; …protection of children’s rights leads to a corresponding improvement in the lives of other sections of the community because it is neither desirable nor possible to protect children’s rights in isolation from their families and communities</w:t>
      </w:r>
      <w:r w:rsidR="000E56E0" w:rsidRPr="002F189F">
        <w:rPr>
          <w:rFonts w:asciiTheme="minorHAnsi" w:eastAsiaTheme="minorHAnsi" w:hAnsiTheme="minorHAnsi" w:cstheme="minorHAnsi"/>
          <w:color w:val="000000" w:themeColor="text1"/>
          <w:lang w:eastAsia="en-US"/>
        </w:rPr>
        <w:t>…”</w:t>
      </w:r>
      <w:r w:rsidR="000E56E0" w:rsidRPr="002F189F">
        <w:rPr>
          <w:rStyle w:val="FootnoteReference"/>
          <w:rFonts w:asciiTheme="minorHAnsi" w:eastAsiaTheme="minorHAnsi" w:hAnsiTheme="minorHAnsi" w:cstheme="minorHAnsi"/>
          <w:color w:val="000000" w:themeColor="text1"/>
          <w:lang w:eastAsia="en-US"/>
        </w:rPr>
        <w:footnoteReference w:id="2"/>
      </w:r>
      <w:r w:rsidR="00134F02" w:rsidRPr="002F189F">
        <w:rPr>
          <w:rFonts w:asciiTheme="minorHAnsi" w:eastAsiaTheme="minorHAnsi" w:hAnsiTheme="minorHAnsi" w:cstheme="minorHAnsi"/>
          <w:color w:val="000000" w:themeColor="text1"/>
          <w:lang w:eastAsia="en-US"/>
        </w:rPr>
        <w:t xml:space="preserve"> </w:t>
      </w:r>
    </w:p>
    <w:p w14:paraId="71D4C18C" w14:textId="5DEEDFA2" w:rsidR="00CF77D7" w:rsidRDefault="00134F02" w:rsidP="00D755EF">
      <w:pPr>
        <w:spacing w:before="240" w:after="200" w:line="480" w:lineRule="auto"/>
        <w:rPr>
          <w:rFonts w:asciiTheme="minorHAnsi" w:eastAsiaTheme="minorHAnsi" w:hAnsiTheme="minorHAnsi" w:cstheme="minorHAnsi"/>
          <w:color w:val="000000" w:themeColor="text1"/>
          <w:lang w:eastAsia="en-US"/>
        </w:rPr>
      </w:pPr>
      <w:r w:rsidRPr="002F189F">
        <w:rPr>
          <w:rFonts w:asciiTheme="minorHAnsi" w:eastAsiaTheme="minorHAnsi" w:hAnsiTheme="minorHAnsi" w:cstheme="minorHAnsi"/>
          <w:color w:val="000000" w:themeColor="text1"/>
          <w:lang w:eastAsia="en-US"/>
        </w:rPr>
        <w:t>These sentiments provides the backbone of any application or action concerning children. In the very least, it encapsulates the very essence of the application before this court. This court is called upon to determine whether it is in the best interests of the two minor children to be uprooted, temporarily at least, pending an order by a competent court regarding their permanent residence.</w:t>
      </w:r>
      <w:r w:rsidR="00783FA9">
        <w:rPr>
          <w:rFonts w:asciiTheme="minorHAnsi" w:eastAsiaTheme="minorHAnsi" w:hAnsiTheme="minorHAnsi" w:cstheme="minorHAnsi"/>
          <w:color w:val="000000" w:themeColor="text1"/>
          <w:lang w:eastAsia="en-US"/>
        </w:rPr>
        <w:t xml:space="preserve"> It was held by the court i</w:t>
      </w:r>
      <w:r w:rsidR="00CF77D7">
        <w:rPr>
          <w:rFonts w:asciiTheme="minorHAnsi" w:eastAsiaTheme="minorHAnsi" w:hAnsiTheme="minorHAnsi" w:cstheme="minorHAnsi"/>
          <w:color w:val="000000" w:themeColor="text1"/>
          <w:lang w:eastAsia="en-US"/>
        </w:rPr>
        <w:t xml:space="preserve">n SH v </w:t>
      </w:r>
      <w:r w:rsidR="00CF77D7">
        <w:rPr>
          <w:rFonts w:asciiTheme="minorHAnsi" w:eastAsiaTheme="minorHAnsi" w:hAnsiTheme="minorHAnsi" w:cstheme="minorHAnsi"/>
          <w:color w:val="000000" w:themeColor="text1"/>
          <w:lang w:eastAsia="en-US"/>
        </w:rPr>
        <w:br/>
        <w:t>MLH</w:t>
      </w:r>
      <w:r w:rsidR="00CF77D7">
        <w:rPr>
          <w:rStyle w:val="FootnoteReference"/>
          <w:rFonts w:asciiTheme="minorHAnsi" w:eastAsiaTheme="minorHAnsi" w:hAnsiTheme="minorHAnsi" w:cstheme="minorHAnsi"/>
          <w:color w:val="000000" w:themeColor="text1"/>
          <w:lang w:eastAsia="en-US"/>
        </w:rPr>
        <w:footnoteReference w:id="3"/>
      </w:r>
      <w:r w:rsidR="00CF77D7">
        <w:rPr>
          <w:rFonts w:asciiTheme="minorHAnsi" w:eastAsiaTheme="minorHAnsi" w:hAnsiTheme="minorHAnsi" w:cstheme="minorHAnsi"/>
          <w:color w:val="000000" w:themeColor="text1"/>
          <w:lang w:eastAsia="en-US"/>
        </w:rPr>
        <w:t xml:space="preserve"> as follow,</w:t>
      </w:r>
    </w:p>
    <w:p w14:paraId="05BBE512" w14:textId="77777777" w:rsidR="00CF77D7" w:rsidRPr="00CF77D7" w:rsidRDefault="00CF77D7" w:rsidP="00CF77D7">
      <w:pPr>
        <w:autoSpaceDE w:val="0"/>
        <w:autoSpaceDN w:val="0"/>
        <w:adjustRightInd w:val="0"/>
        <w:ind w:left="720"/>
        <w:jc w:val="both"/>
        <w:rPr>
          <w:i/>
          <w:iCs/>
        </w:rPr>
      </w:pPr>
      <w:r w:rsidRPr="00CF77D7">
        <w:rPr>
          <w:i/>
          <w:iCs/>
        </w:rPr>
        <w:t xml:space="preserve">The Children's Act </w:t>
      </w:r>
    </w:p>
    <w:p w14:paraId="144F8DE0" w14:textId="77777777" w:rsidR="00CF77D7" w:rsidRPr="00CF77D7" w:rsidRDefault="00CF77D7" w:rsidP="00CF77D7">
      <w:pPr>
        <w:autoSpaceDE w:val="0"/>
        <w:autoSpaceDN w:val="0"/>
        <w:adjustRightInd w:val="0"/>
        <w:ind w:left="720"/>
        <w:jc w:val="both"/>
        <w:rPr>
          <w:b/>
          <w:bCs/>
          <w:lang w:val="en-US"/>
        </w:rPr>
      </w:pPr>
    </w:p>
    <w:p w14:paraId="4B0295E7" w14:textId="77777777" w:rsidR="00CF77D7" w:rsidRPr="00CF77D7" w:rsidRDefault="00CF77D7" w:rsidP="00CF77D7">
      <w:pPr>
        <w:pStyle w:val="ListParagraph"/>
        <w:numPr>
          <w:ilvl w:val="0"/>
          <w:numId w:val="2"/>
        </w:numPr>
        <w:spacing w:line="360" w:lineRule="auto"/>
        <w:ind w:left="1440" w:hanging="720"/>
        <w:jc w:val="both"/>
        <w:rPr>
          <w:lang w:val="en-US"/>
        </w:rPr>
      </w:pPr>
      <w:r w:rsidRPr="00CF77D7">
        <w:t>Section 2 affirms that the Children’s Act must be interpreted and applied to promote the protection, well-being and development of children, consistent with the Constitution and international law. Section 6 prescribes general principles applicable to all proceedings concerning children, including respect for their dignity, the promotion of their rights in the bill of rights, and recognition of their individual circumstances and developmental needs.</w:t>
      </w:r>
    </w:p>
    <w:p w14:paraId="3D3D9C5B" w14:textId="77777777" w:rsidR="00CF77D7" w:rsidRPr="00CF77D7" w:rsidRDefault="00CF77D7" w:rsidP="00CF77D7">
      <w:pPr>
        <w:ind w:left="720"/>
        <w:jc w:val="both"/>
        <w:rPr>
          <w:lang w:val="en-US"/>
        </w:rPr>
      </w:pPr>
    </w:p>
    <w:p w14:paraId="7FA415F0" w14:textId="77777777" w:rsidR="00CF77D7" w:rsidRPr="00623A15" w:rsidRDefault="00CF77D7" w:rsidP="00CF77D7">
      <w:pPr>
        <w:pStyle w:val="ListParagraph"/>
        <w:numPr>
          <w:ilvl w:val="0"/>
          <w:numId w:val="2"/>
        </w:numPr>
        <w:spacing w:line="360" w:lineRule="auto"/>
        <w:ind w:left="1440" w:hanging="720"/>
        <w:jc w:val="both"/>
        <w:rPr>
          <w:color w:val="FF0000"/>
          <w:lang w:val="en-US"/>
        </w:rPr>
      </w:pPr>
      <w:r w:rsidRPr="00CF77D7">
        <w:rPr>
          <w:lang w:val="en-US"/>
        </w:rPr>
        <w:t xml:space="preserve">Section 7, sets out the factors to be taken into account when determining the best interests of a child. These include, among others, the nature of the child’s personal relationships with parents and caregivers, the likely effect of any </w:t>
      </w:r>
      <w:r w:rsidRPr="00CF77D7">
        <w:rPr>
          <w:lang w:val="en-US"/>
        </w:rPr>
        <w:lastRenderedPageBreak/>
        <w:t>change in the child’s circumstances, the child’s age, maturity and stage of development, and the need for stability and security. The best-interests standard is not a single test but a composite weighing of all relevant circumstances to ensure that the child’s welfare is paramount.</w:t>
      </w:r>
    </w:p>
    <w:p w14:paraId="4F6B161A" w14:textId="5E8DE1EF" w:rsidR="00D755EF" w:rsidRPr="002F189F" w:rsidRDefault="00134F02" w:rsidP="00D755EF">
      <w:pPr>
        <w:spacing w:before="240" w:after="200" w:line="480" w:lineRule="auto"/>
        <w:rPr>
          <w:rFonts w:asciiTheme="minorHAnsi" w:eastAsiaTheme="minorHAnsi" w:hAnsiTheme="minorHAnsi" w:cstheme="minorHAnsi"/>
          <w:lang w:eastAsia="en-US"/>
        </w:rPr>
      </w:pPr>
      <w:r w:rsidRPr="002F189F">
        <w:rPr>
          <w:rFonts w:asciiTheme="minorHAnsi" w:eastAsiaTheme="minorHAnsi" w:hAnsiTheme="minorHAnsi" w:cstheme="minorHAnsi"/>
          <w:color w:val="000000" w:themeColor="text1"/>
          <w:lang w:eastAsia="en-US"/>
        </w:rPr>
        <w:t xml:space="preserve">Further to that, my learned brother granted interim relief on 31 December 2025 providing </w:t>
      </w:r>
      <w:r w:rsidRPr="002F189F">
        <w:rPr>
          <w:rFonts w:asciiTheme="minorHAnsi" w:eastAsiaTheme="minorHAnsi" w:hAnsiTheme="minorHAnsi" w:cstheme="minorHAnsi"/>
          <w:i/>
          <w:iCs/>
          <w:color w:val="000000" w:themeColor="text1"/>
          <w:lang w:eastAsia="en-US"/>
        </w:rPr>
        <w:t>inter alia</w:t>
      </w:r>
      <w:r w:rsidRPr="002F189F">
        <w:rPr>
          <w:rFonts w:asciiTheme="minorHAnsi" w:eastAsiaTheme="minorHAnsi" w:hAnsiTheme="minorHAnsi" w:cstheme="minorHAnsi"/>
          <w:color w:val="000000" w:themeColor="text1"/>
          <w:lang w:eastAsia="en-US"/>
        </w:rPr>
        <w:t xml:space="preserve"> that the children </w:t>
      </w:r>
      <w:r w:rsidR="0077742B" w:rsidRPr="002F189F">
        <w:rPr>
          <w:rFonts w:asciiTheme="minorHAnsi" w:eastAsiaTheme="minorHAnsi" w:hAnsiTheme="minorHAnsi" w:cstheme="minorHAnsi"/>
          <w:color w:val="000000" w:themeColor="text1"/>
          <w:lang w:eastAsia="en-US"/>
        </w:rPr>
        <w:t>will reside at the home of 1</w:t>
      </w:r>
      <w:r w:rsidR="0077742B" w:rsidRPr="002F189F">
        <w:rPr>
          <w:rFonts w:asciiTheme="minorHAnsi" w:eastAsiaTheme="minorHAnsi" w:hAnsiTheme="minorHAnsi" w:cstheme="minorHAnsi"/>
          <w:color w:val="000000" w:themeColor="text1"/>
          <w:vertAlign w:val="superscript"/>
          <w:lang w:eastAsia="en-US"/>
        </w:rPr>
        <w:t>st</w:t>
      </w:r>
      <w:r w:rsidR="0077742B" w:rsidRPr="002F189F">
        <w:rPr>
          <w:rFonts w:asciiTheme="minorHAnsi" w:eastAsiaTheme="minorHAnsi" w:hAnsiTheme="minorHAnsi" w:cstheme="minorHAnsi"/>
          <w:color w:val="000000" w:themeColor="text1"/>
          <w:lang w:eastAsia="en-US"/>
        </w:rPr>
        <w:t xml:space="preserve"> Respondent’s parents, 2</w:t>
      </w:r>
      <w:r w:rsidR="0077742B" w:rsidRPr="002F189F">
        <w:rPr>
          <w:rFonts w:asciiTheme="minorHAnsi" w:eastAsiaTheme="minorHAnsi" w:hAnsiTheme="minorHAnsi" w:cstheme="minorHAnsi"/>
          <w:color w:val="000000" w:themeColor="text1"/>
          <w:vertAlign w:val="superscript"/>
          <w:lang w:eastAsia="en-US"/>
        </w:rPr>
        <w:t>nd</w:t>
      </w:r>
      <w:r w:rsidR="0077742B" w:rsidRPr="002F189F">
        <w:rPr>
          <w:rFonts w:asciiTheme="minorHAnsi" w:eastAsiaTheme="minorHAnsi" w:hAnsiTheme="minorHAnsi" w:cstheme="minorHAnsi"/>
          <w:color w:val="000000" w:themeColor="text1"/>
          <w:lang w:eastAsia="en-US"/>
        </w:rPr>
        <w:t xml:space="preserve"> and 3</w:t>
      </w:r>
      <w:r w:rsidR="0077742B" w:rsidRPr="002F189F">
        <w:rPr>
          <w:rFonts w:asciiTheme="minorHAnsi" w:eastAsiaTheme="minorHAnsi" w:hAnsiTheme="minorHAnsi" w:cstheme="minorHAnsi"/>
          <w:color w:val="000000" w:themeColor="text1"/>
          <w:vertAlign w:val="superscript"/>
          <w:lang w:eastAsia="en-US"/>
        </w:rPr>
        <w:t>rd</w:t>
      </w:r>
      <w:r w:rsidR="0077742B" w:rsidRPr="002F189F">
        <w:rPr>
          <w:rFonts w:asciiTheme="minorHAnsi" w:eastAsiaTheme="minorHAnsi" w:hAnsiTheme="minorHAnsi" w:cstheme="minorHAnsi"/>
          <w:color w:val="000000" w:themeColor="text1"/>
          <w:lang w:eastAsia="en-US"/>
        </w:rPr>
        <w:t xml:space="preserve"> Respondents respectively, at </w:t>
      </w:r>
      <w:r w:rsidR="00624359">
        <w:rPr>
          <w:rFonts w:asciiTheme="minorHAnsi" w:eastAsiaTheme="minorHAnsi" w:hAnsiTheme="minorHAnsi" w:cstheme="minorHAnsi"/>
          <w:color w:val="000000" w:themeColor="text1"/>
          <w:lang w:eastAsia="en-US"/>
        </w:rPr>
        <w:t>[…]</w:t>
      </w:r>
      <w:r w:rsidR="00624359">
        <w:rPr>
          <w:rStyle w:val="FootnoteReference"/>
          <w:rFonts w:asciiTheme="minorHAnsi" w:eastAsiaTheme="minorHAnsi" w:hAnsiTheme="minorHAnsi" w:cstheme="minorHAnsi"/>
          <w:color w:val="000000" w:themeColor="text1"/>
          <w:lang w:eastAsia="en-US"/>
        </w:rPr>
        <w:footnoteReference w:id="4"/>
      </w:r>
      <w:r w:rsidR="0077742B" w:rsidRPr="002F189F">
        <w:rPr>
          <w:rFonts w:asciiTheme="minorHAnsi" w:eastAsiaTheme="minorHAnsi" w:hAnsiTheme="minorHAnsi" w:cstheme="minorHAnsi"/>
          <w:color w:val="000000" w:themeColor="text1"/>
          <w:lang w:eastAsia="en-US"/>
        </w:rPr>
        <w:t>, Southridge Park, Mthatha pending a decision by a competent court. It was further ordered that Applicant</w:t>
      </w:r>
      <w:r w:rsidR="00624359">
        <w:rPr>
          <w:rStyle w:val="FootnoteReference"/>
          <w:rFonts w:asciiTheme="minorHAnsi" w:eastAsiaTheme="minorHAnsi" w:hAnsiTheme="minorHAnsi" w:cstheme="minorHAnsi"/>
          <w:color w:val="000000" w:themeColor="text1"/>
          <w:lang w:eastAsia="en-US"/>
        </w:rPr>
        <w:footnoteReference w:id="5"/>
      </w:r>
      <w:r w:rsidR="0077742B" w:rsidRPr="002F189F">
        <w:rPr>
          <w:rFonts w:asciiTheme="minorHAnsi" w:eastAsiaTheme="minorHAnsi" w:hAnsiTheme="minorHAnsi" w:cstheme="minorHAnsi"/>
          <w:color w:val="000000" w:themeColor="text1"/>
          <w:lang w:eastAsia="en-US"/>
        </w:rPr>
        <w:t xml:space="preserve"> shall have access to the children as set out in the order and that 1</w:t>
      </w:r>
      <w:r w:rsidR="0077742B" w:rsidRPr="002F189F">
        <w:rPr>
          <w:rFonts w:asciiTheme="minorHAnsi" w:eastAsiaTheme="minorHAnsi" w:hAnsiTheme="minorHAnsi" w:cstheme="minorHAnsi"/>
          <w:color w:val="000000" w:themeColor="text1"/>
          <w:vertAlign w:val="superscript"/>
          <w:lang w:eastAsia="en-US"/>
        </w:rPr>
        <w:t>st</w:t>
      </w:r>
      <w:r w:rsidR="0077742B" w:rsidRPr="002F189F">
        <w:rPr>
          <w:rFonts w:asciiTheme="minorHAnsi" w:eastAsiaTheme="minorHAnsi" w:hAnsiTheme="minorHAnsi" w:cstheme="minorHAnsi"/>
          <w:color w:val="000000" w:themeColor="text1"/>
          <w:lang w:eastAsia="en-US"/>
        </w:rPr>
        <w:t xml:space="preserve"> Respondent</w:t>
      </w:r>
      <w:r w:rsidR="00624359">
        <w:rPr>
          <w:rStyle w:val="FootnoteReference"/>
          <w:rFonts w:asciiTheme="minorHAnsi" w:eastAsiaTheme="minorHAnsi" w:hAnsiTheme="minorHAnsi" w:cstheme="minorHAnsi"/>
          <w:color w:val="000000" w:themeColor="text1"/>
          <w:lang w:eastAsia="en-US"/>
        </w:rPr>
        <w:footnoteReference w:id="6"/>
      </w:r>
      <w:r w:rsidR="0077742B" w:rsidRPr="002F189F">
        <w:rPr>
          <w:rFonts w:asciiTheme="minorHAnsi" w:eastAsiaTheme="minorHAnsi" w:hAnsiTheme="minorHAnsi" w:cstheme="minorHAnsi"/>
          <w:color w:val="000000" w:themeColor="text1"/>
          <w:lang w:eastAsia="en-US"/>
        </w:rPr>
        <w:t xml:space="preserve"> shall facilitate same. Both parties are seeking this order to be set aside for very differing reasons. I will address these further in this judgment. </w:t>
      </w:r>
      <w:r w:rsidRPr="002F189F">
        <w:rPr>
          <w:rFonts w:asciiTheme="minorHAnsi" w:eastAsiaTheme="minorHAnsi" w:hAnsiTheme="minorHAnsi" w:cstheme="minorHAnsi"/>
          <w:color w:val="000000" w:themeColor="text1"/>
          <w:lang w:eastAsia="en-US"/>
        </w:rPr>
        <w:t xml:space="preserve"> </w:t>
      </w:r>
    </w:p>
    <w:p w14:paraId="5A3BCD2B" w14:textId="5220B7CA" w:rsidR="00D755EF" w:rsidRPr="002F189F" w:rsidRDefault="00D755EF" w:rsidP="00D755EF">
      <w:pPr>
        <w:spacing w:before="240" w:after="200" w:line="480" w:lineRule="auto"/>
        <w:rPr>
          <w:rFonts w:asciiTheme="minorHAnsi" w:eastAsiaTheme="minorHAnsi" w:hAnsiTheme="minorHAnsi" w:cstheme="minorHAnsi"/>
          <w:lang w:eastAsia="en-US"/>
        </w:rPr>
      </w:pPr>
      <w:r w:rsidRPr="002F189F">
        <w:rPr>
          <w:rFonts w:asciiTheme="minorHAnsi" w:eastAsiaTheme="minorHAnsi" w:hAnsiTheme="minorHAnsi" w:cstheme="minorHAnsi"/>
          <w:lang w:eastAsia="en-US"/>
        </w:rPr>
        <w:t xml:space="preserve">[2] </w:t>
      </w:r>
      <w:r w:rsidR="0077742B" w:rsidRPr="002F189F">
        <w:rPr>
          <w:rFonts w:asciiTheme="minorHAnsi" w:eastAsiaTheme="minorHAnsi" w:hAnsiTheme="minorHAnsi" w:cstheme="minorHAnsi"/>
          <w:lang w:eastAsia="en-US"/>
        </w:rPr>
        <w:t xml:space="preserve">The matter came before court on 31 December 2025 on an </w:t>
      </w:r>
      <w:r w:rsidR="0077742B" w:rsidRPr="002F189F">
        <w:rPr>
          <w:rFonts w:asciiTheme="minorHAnsi" w:eastAsiaTheme="minorHAnsi" w:hAnsiTheme="minorHAnsi" w:cstheme="minorHAnsi"/>
          <w:i/>
          <w:iCs/>
          <w:lang w:eastAsia="en-US"/>
        </w:rPr>
        <w:t>ex parte</w:t>
      </w:r>
      <w:r w:rsidR="0077742B" w:rsidRPr="002F189F">
        <w:rPr>
          <w:rFonts w:asciiTheme="minorHAnsi" w:eastAsiaTheme="minorHAnsi" w:hAnsiTheme="minorHAnsi" w:cstheme="minorHAnsi"/>
          <w:lang w:eastAsia="en-US"/>
        </w:rPr>
        <w:t xml:space="preserve"> basis held to be urgent in nature. </w:t>
      </w:r>
      <w:r w:rsidR="00CC0C35" w:rsidRPr="002F189F">
        <w:rPr>
          <w:rFonts w:asciiTheme="minorHAnsi" w:eastAsiaTheme="minorHAnsi" w:hAnsiTheme="minorHAnsi" w:cstheme="minorHAnsi"/>
          <w:lang w:eastAsia="en-US"/>
        </w:rPr>
        <w:t xml:space="preserve">Application was sought in terms of </w:t>
      </w:r>
      <w:r w:rsidR="002F189F" w:rsidRPr="002F189F">
        <w:rPr>
          <w:rFonts w:asciiTheme="minorHAnsi" w:eastAsiaTheme="minorHAnsi" w:hAnsiTheme="minorHAnsi" w:cstheme="minorHAnsi"/>
          <w:lang w:eastAsia="en-US"/>
        </w:rPr>
        <w:t>S.23 of CA for the awarding of custody to Applicant</w:t>
      </w:r>
      <w:r w:rsidR="00624359">
        <w:rPr>
          <w:rFonts w:asciiTheme="minorHAnsi" w:eastAsiaTheme="minorHAnsi" w:hAnsiTheme="minorHAnsi" w:cstheme="minorHAnsi"/>
          <w:lang w:eastAsia="en-US"/>
        </w:rPr>
        <w:t>,</w:t>
      </w:r>
      <w:r w:rsidR="002F189F" w:rsidRPr="002F189F">
        <w:rPr>
          <w:rFonts w:asciiTheme="minorHAnsi" w:eastAsiaTheme="minorHAnsi" w:hAnsiTheme="minorHAnsi" w:cstheme="minorHAnsi"/>
          <w:lang w:eastAsia="en-US"/>
        </w:rPr>
        <w:t xml:space="preserve"> while in the interim</w:t>
      </w:r>
      <w:r w:rsidR="00624359">
        <w:rPr>
          <w:rFonts w:asciiTheme="minorHAnsi" w:eastAsiaTheme="minorHAnsi" w:hAnsiTheme="minorHAnsi" w:cstheme="minorHAnsi"/>
          <w:lang w:eastAsia="en-US"/>
        </w:rPr>
        <w:t>,</w:t>
      </w:r>
      <w:r w:rsidR="002F189F" w:rsidRPr="002F189F">
        <w:rPr>
          <w:rFonts w:asciiTheme="minorHAnsi" w:eastAsiaTheme="minorHAnsi" w:hAnsiTheme="minorHAnsi" w:cstheme="minorHAnsi"/>
          <w:lang w:eastAsia="en-US"/>
        </w:rPr>
        <w:t xml:space="preserve"> pending such order</w:t>
      </w:r>
      <w:r w:rsidR="00624359">
        <w:rPr>
          <w:rFonts w:asciiTheme="minorHAnsi" w:eastAsiaTheme="minorHAnsi" w:hAnsiTheme="minorHAnsi" w:cstheme="minorHAnsi"/>
          <w:lang w:eastAsia="en-US"/>
        </w:rPr>
        <w:t>,</w:t>
      </w:r>
      <w:r w:rsidR="002F189F" w:rsidRPr="002F189F">
        <w:rPr>
          <w:rFonts w:asciiTheme="minorHAnsi" w:eastAsiaTheme="minorHAnsi" w:hAnsiTheme="minorHAnsi" w:cstheme="minorHAnsi"/>
          <w:lang w:eastAsia="en-US"/>
        </w:rPr>
        <w:t xml:space="preserve"> the Applicant be allowed access and care in respect of the two minor children</w:t>
      </w:r>
      <w:r w:rsidR="00624359">
        <w:rPr>
          <w:rFonts w:asciiTheme="minorHAnsi" w:eastAsiaTheme="minorHAnsi" w:hAnsiTheme="minorHAnsi" w:cstheme="minorHAnsi"/>
          <w:lang w:eastAsia="en-US"/>
        </w:rPr>
        <w:t>. Applicant is seeking an order for permanent residence to be awarded in her favour.</w:t>
      </w:r>
      <w:r w:rsidR="008724E4">
        <w:rPr>
          <w:rFonts w:asciiTheme="minorHAnsi" w:eastAsiaTheme="minorHAnsi" w:hAnsiTheme="minorHAnsi" w:cstheme="minorHAnsi"/>
          <w:lang w:eastAsia="en-US"/>
        </w:rPr>
        <w:t xml:space="preserve"> The court has to be mindful of the fact that at the time the interim order was granted, the children were residing at the home of Respondent’s parents for reasons as evident from the evidence placed before this court by way of affidavit as well as in argument by both parties. This arrangement in itself is cause for concern. Applicant is residing and employed at Cape Town in the Western Cape Province of South Africa. Respondent is residing and employed at Johannesburg in the Gauteng Province of </w:t>
      </w:r>
      <w:r w:rsidR="008724E4">
        <w:rPr>
          <w:rFonts w:asciiTheme="minorHAnsi" w:eastAsiaTheme="minorHAnsi" w:hAnsiTheme="minorHAnsi" w:cstheme="minorHAnsi"/>
          <w:lang w:eastAsia="en-US"/>
        </w:rPr>
        <w:lastRenderedPageBreak/>
        <w:t xml:space="preserve">South Africa. The material terms of the order </w:t>
      </w:r>
      <w:r w:rsidR="00416EEC">
        <w:rPr>
          <w:rFonts w:asciiTheme="minorHAnsi" w:eastAsiaTheme="minorHAnsi" w:hAnsiTheme="minorHAnsi" w:cstheme="minorHAnsi"/>
          <w:lang w:eastAsia="en-US"/>
        </w:rPr>
        <w:t xml:space="preserve">in their current form </w:t>
      </w:r>
      <w:r w:rsidR="008724E4">
        <w:rPr>
          <w:rFonts w:asciiTheme="minorHAnsi" w:eastAsiaTheme="minorHAnsi" w:hAnsiTheme="minorHAnsi" w:cstheme="minorHAnsi"/>
          <w:lang w:eastAsia="en-US"/>
        </w:rPr>
        <w:t xml:space="preserve">are simply not practical and may be deemed untenable under present circumstances.  </w:t>
      </w:r>
    </w:p>
    <w:p w14:paraId="26B6565D" w14:textId="77777777" w:rsidR="003E2147" w:rsidRDefault="00D755EF" w:rsidP="00D755EF">
      <w:pPr>
        <w:spacing w:before="240" w:after="200" w:line="480" w:lineRule="auto"/>
        <w:rPr>
          <w:rFonts w:asciiTheme="minorHAnsi" w:eastAsiaTheme="minorHAnsi" w:hAnsiTheme="minorHAnsi" w:cstheme="minorHAnsi"/>
          <w:lang w:eastAsia="en-US"/>
        </w:rPr>
      </w:pPr>
      <w:r w:rsidRPr="002F189F">
        <w:rPr>
          <w:rFonts w:asciiTheme="minorHAnsi" w:eastAsiaTheme="minorHAnsi" w:hAnsiTheme="minorHAnsi" w:cstheme="minorHAnsi"/>
          <w:lang w:eastAsia="en-US"/>
        </w:rPr>
        <w:t xml:space="preserve">[3] </w:t>
      </w:r>
      <w:r w:rsidR="00C31230">
        <w:rPr>
          <w:rFonts w:asciiTheme="minorHAnsi" w:eastAsiaTheme="minorHAnsi" w:hAnsiTheme="minorHAnsi" w:cstheme="minorHAnsi"/>
          <w:lang w:eastAsia="en-US"/>
        </w:rPr>
        <w:t xml:space="preserve">The issue of this court’s jurisdiction in the matter is of absolute importance. I will deal with this question further in this judgment. However, I deem it necessary and appropriate to engage with the evidence placed before this court and the issues raised there anent. </w:t>
      </w:r>
      <w:r w:rsidR="008724E4">
        <w:rPr>
          <w:rFonts w:asciiTheme="minorHAnsi" w:eastAsiaTheme="minorHAnsi" w:hAnsiTheme="minorHAnsi" w:cstheme="minorHAnsi"/>
          <w:lang w:eastAsia="en-US"/>
        </w:rPr>
        <w:t xml:space="preserve">The interim order was granted on the basis that the said minor children, IBN and INN respectively, permanently resides with the parents of Respondent as from October 2025. It was claimed that this was due to a unilateral decision by Respondent to relocate the children from his permanent residence at Johannesburg to the address at Mthatha. </w:t>
      </w:r>
      <w:r w:rsidR="00620DD9">
        <w:rPr>
          <w:rFonts w:asciiTheme="minorHAnsi" w:eastAsiaTheme="minorHAnsi" w:hAnsiTheme="minorHAnsi" w:cstheme="minorHAnsi"/>
          <w:lang w:eastAsia="en-US"/>
        </w:rPr>
        <w:t xml:space="preserve">At paragraph 3 of the founding affidavit Applicant sites the address of Respondent at the same address as where the children are alleged to be residing at. Applicant claims per paragraph 1.5 of said affidavit that she is claiming “urgent release of IBN and INN…held in malicious and unlawful deprivation of parental visit and or contact in violation also of their parental care and nurturing…” It is further stated that the children are being kept at the address mentioned in the papers </w:t>
      </w:r>
      <w:r w:rsidR="00620DD9" w:rsidRPr="00620DD9">
        <w:rPr>
          <w:rFonts w:asciiTheme="minorHAnsi" w:eastAsiaTheme="minorHAnsi" w:hAnsiTheme="minorHAnsi" w:cstheme="minorHAnsi"/>
          <w:u w:val="single"/>
          <w:lang w:eastAsia="en-US"/>
        </w:rPr>
        <w:t>by the Respondent</w:t>
      </w:r>
      <w:r w:rsidR="00620DD9">
        <w:rPr>
          <w:rFonts w:asciiTheme="minorHAnsi" w:eastAsiaTheme="minorHAnsi" w:hAnsiTheme="minorHAnsi" w:cstheme="minorHAnsi"/>
          <w:lang w:eastAsia="en-US"/>
        </w:rPr>
        <w:t xml:space="preserve">, which is the </w:t>
      </w:r>
      <w:r w:rsidR="00620DD9" w:rsidRPr="00620DD9">
        <w:rPr>
          <w:rFonts w:asciiTheme="minorHAnsi" w:eastAsiaTheme="minorHAnsi" w:hAnsiTheme="minorHAnsi" w:cstheme="minorHAnsi"/>
          <w:u w:val="single"/>
          <w:lang w:eastAsia="en-US"/>
        </w:rPr>
        <w:t>home of the Respondent</w:t>
      </w:r>
      <w:r w:rsidR="00620DD9">
        <w:rPr>
          <w:rFonts w:asciiTheme="minorHAnsi" w:eastAsiaTheme="minorHAnsi" w:hAnsiTheme="minorHAnsi" w:cstheme="minorHAnsi"/>
          <w:lang w:eastAsia="en-US"/>
        </w:rPr>
        <w:t xml:space="preserve">. Applicant states that both parties are employed in different provinces but that </w:t>
      </w:r>
      <w:r w:rsidR="00620DD9" w:rsidRPr="00620DD9">
        <w:rPr>
          <w:rFonts w:asciiTheme="minorHAnsi" w:eastAsiaTheme="minorHAnsi" w:hAnsiTheme="minorHAnsi" w:cstheme="minorHAnsi"/>
          <w:u w:val="single"/>
          <w:lang w:eastAsia="en-US"/>
        </w:rPr>
        <w:t>both their homes are within the jurisdiction of this court</w:t>
      </w:r>
      <w:r w:rsidR="00620DD9">
        <w:rPr>
          <w:rFonts w:asciiTheme="minorHAnsi" w:eastAsiaTheme="minorHAnsi" w:hAnsiTheme="minorHAnsi" w:cstheme="minorHAnsi"/>
          <w:lang w:eastAsia="en-US"/>
        </w:rPr>
        <w:t xml:space="preserve">. </w:t>
      </w:r>
    </w:p>
    <w:p w14:paraId="4241C103" w14:textId="23052A87" w:rsidR="00D755EF" w:rsidRPr="00B65466" w:rsidRDefault="00D755EF" w:rsidP="00D755EF">
      <w:pPr>
        <w:spacing w:before="240" w:after="200" w:line="480" w:lineRule="auto"/>
        <w:rPr>
          <w:rFonts w:asciiTheme="minorHAnsi" w:eastAsiaTheme="minorHAnsi" w:hAnsiTheme="minorHAnsi" w:cstheme="minorHAnsi"/>
          <w:lang w:eastAsia="en-US"/>
        </w:rPr>
      </w:pPr>
      <w:r w:rsidRPr="002F189F">
        <w:rPr>
          <w:rFonts w:asciiTheme="minorHAnsi" w:eastAsiaTheme="minorHAnsi" w:hAnsiTheme="minorHAnsi" w:cstheme="minorHAnsi"/>
          <w:lang w:eastAsia="en-US"/>
        </w:rPr>
        <w:t xml:space="preserve">[4] </w:t>
      </w:r>
      <w:r w:rsidR="00620DD9">
        <w:rPr>
          <w:rFonts w:asciiTheme="minorHAnsi" w:eastAsiaTheme="minorHAnsi" w:hAnsiTheme="minorHAnsi" w:cstheme="minorHAnsi"/>
          <w:lang w:eastAsia="en-US"/>
        </w:rPr>
        <w:t xml:space="preserve">It is not disputed that the parties were in a love relationship and that the twins were born from such relationship. </w:t>
      </w:r>
      <w:r w:rsidR="0003533B">
        <w:rPr>
          <w:rFonts w:asciiTheme="minorHAnsi" w:eastAsiaTheme="minorHAnsi" w:hAnsiTheme="minorHAnsi" w:cstheme="minorHAnsi"/>
          <w:lang w:eastAsia="en-US"/>
        </w:rPr>
        <w:t xml:space="preserve">They were born </w:t>
      </w:r>
      <w:r w:rsidR="0003533B" w:rsidRPr="0003533B">
        <w:rPr>
          <w:rFonts w:asciiTheme="minorHAnsi" w:eastAsiaTheme="minorHAnsi" w:hAnsiTheme="minorHAnsi" w:cstheme="minorHAnsi"/>
          <w:i/>
          <w:lang w:eastAsia="en-US"/>
        </w:rPr>
        <w:t>circa</w:t>
      </w:r>
      <w:r w:rsidR="0003533B">
        <w:rPr>
          <w:rFonts w:asciiTheme="minorHAnsi" w:eastAsiaTheme="minorHAnsi" w:hAnsiTheme="minorHAnsi" w:cstheme="minorHAnsi"/>
          <w:lang w:eastAsia="en-US"/>
        </w:rPr>
        <w:t xml:space="preserve"> 2023 – copies of their birth certificates having been filed of record and not being in dispute. The parties were never married although it is alleged that Respondent committed to a promise of marriage. It is an undisputed fact that the Respondent acknowledged paternity at birth, that he was present at the time of their birth and that the children were registered under his name with consent </w:t>
      </w:r>
      <w:r w:rsidR="0003533B">
        <w:rPr>
          <w:rFonts w:asciiTheme="minorHAnsi" w:eastAsiaTheme="minorHAnsi" w:hAnsiTheme="minorHAnsi" w:cstheme="minorHAnsi"/>
          <w:lang w:eastAsia="en-US"/>
        </w:rPr>
        <w:lastRenderedPageBreak/>
        <w:t xml:space="preserve">of Applicant. Applicant held that she was </w:t>
      </w:r>
      <w:r w:rsidR="0003533B" w:rsidRPr="0003533B">
        <w:rPr>
          <w:rFonts w:asciiTheme="minorHAnsi" w:eastAsiaTheme="minorHAnsi" w:hAnsiTheme="minorHAnsi" w:cstheme="minorHAnsi"/>
          <w:u w:val="single"/>
          <w:lang w:eastAsia="en-US"/>
        </w:rPr>
        <w:t>not in a proper state of mind to consent at the time</w:t>
      </w:r>
      <w:r w:rsidR="0003533B">
        <w:rPr>
          <w:rFonts w:asciiTheme="minorHAnsi" w:eastAsiaTheme="minorHAnsi" w:hAnsiTheme="minorHAnsi" w:cstheme="minorHAnsi"/>
          <w:lang w:eastAsia="en-US"/>
        </w:rPr>
        <w:t xml:space="preserve">.  However, she continues to state that this was also done </w:t>
      </w:r>
      <w:r w:rsidR="0003533B" w:rsidRPr="0003533B">
        <w:rPr>
          <w:rFonts w:asciiTheme="minorHAnsi" w:eastAsiaTheme="minorHAnsi" w:hAnsiTheme="minorHAnsi" w:cstheme="minorHAnsi"/>
          <w:u w:val="single"/>
          <w:lang w:eastAsia="en-US"/>
        </w:rPr>
        <w:t>due to the promise</w:t>
      </w:r>
      <w:r w:rsidR="0003533B">
        <w:rPr>
          <w:rFonts w:asciiTheme="minorHAnsi" w:eastAsiaTheme="minorHAnsi" w:hAnsiTheme="minorHAnsi" w:cstheme="minorHAnsi"/>
          <w:lang w:eastAsia="en-US"/>
        </w:rPr>
        <w:t xml:space="preserve"> of marriage and if this took place it will </w:t>
      </w:r>
      <w:r w:rsidR="0003533B" w:rsidRPr="0003533B">
        <w:rPr>
          <w:rFonts w:asciiTheme="minorHAnsi" w:eastAsiaTheme="minorHAnsi" w:hAnsiTheme="minorHAnsi" w:cstheme="minorHAnsi"/>
          <w:u w:val="single"/>
          <w:lang w:eastAsia="en-US"/>
        </w:rPr>
        <w:t>not be necessary to effect changes</w:t>
      </w:r>
      <w:r w:rsidR="0003533B">
        <w:rPr>
          <w:rFonts w:asciiTheme="minorHAnsi" w:eastAsiaTheme="minorHAnsi" w:hAnsiTheme="minorHAnsi" w:cstheme="minorHAnsi"/>
          <w:lang w:eastAsia="en-US"/>
        </w:rPr>
        <w:t xml:space="preserve"> to their names through the Department of Home Affairs. </w:t>
      </w:r>
      <w:r w:rsidR="003E2147">
        <w:rPr>
          <w:rFonts w:asciiTheme="minorHAnsi" w:eastAsiaTheme="minorHAnsi" w:hAnsiTheme="minorHAnsi" w:cstheme="minorHAnsi"/>
          <w:lang w:eastAsia="en-US"/>
        </w:rPr>
        <w:t xml:space="preserve">This is clearly indicative of a decision taken while fully aware as to what she was agreeing to, whether on the day of giving birth or before. </w:t>
      </w:r>
      <w:r w:rsidR="0003533B">
        <w:rPr>
          <w:rFonts w:asciiTheme="minorHAnsi" w:eastAsiaTheme="minorHAnsi" w:hAnsiTheme="minorHAnsi" w:cstheme="minorHAnsi"/>
          <w:lang w:eastAsia="en-US"/>
        </w:rPr>
        <w:t>Prior to January 2025 Respondent was also employed at Cape Town and the parties were staying together, with a “nanny”</w:t>
      </w:r>
      <w:r w:rsidR="00F7666B">
        <w:rPr>
          <w:rStyle w:val="FootnoteReference"/>
          <w:rFonts w:asciiTheme="minorHAnsi" w:eastAsiaTheme="minorHAnsi" w:hAnsiTheme="minorHAnsi" w:cstheme="minorHAnsi"/>
          <w:lang w:eastAsia="en-US"/>
        </w:rPr>
        <w:footnoteReference w:id="7"/>
      </w:r>
      <w:r w:rsidR="0003533B">
        <w:rPr>
          <w:rFonts w:asciiTheme="minorHAnsi" w:eastAsiaTheme="minorHAnsi" w:hAnsiTheme="minorHAnsi" w:cstheme="minorHAnsi"/>
          <w:lang w:eastAsia="en-US"/>
        </w:rPr>
        <w:t xml:space="preserve"> taking care of the children. Due to a better employment offer, Respondent relocated to Johannesburg. She then contends that it was </w:t>
      </w:r>
      <w:r w:rsidR="0003533B" w:rsidRPr="00911D90">
        <w:rPr>
          <w:rFonts w:asciiTheme="minorHAnsi" w:eastAsiaTheme="minorHAnsi" w:hAnsiTheme="minorHAnsi" w:cstheme="minorHAnsi"/>
          <w:u w:val="single"/>
          <w:lang w:eastAsia="en-US"/>
        </w:rPr>
        <w:t>by mutual agreement</w:t>
      </w:r>
      <w:r w:rsidR="0003533B">
        <w:rPr>
          <w:rFonts w:asciiTheme="minorHAnsi" w:eastAsiaTheme="minorHAnsi" w:hAnsiTheme="minorHAnsi" w:cstheme="minorHAnsi"/>
          <w:lang w:eastAsia="en-US"/>
        </w:rPr>
        <w:t xml:space="preserve"> that the children relocate with the Respondent and the nanny to Johannesburg </w:t>
      </w:r>
      <w:r w:rsidR="0003533B" w:rsidRPr="00911D90">
        <w:rPr>
          <w:rFonts w:asciiTheme="minorHAnsi" w:eastAsiaTheme="minorHAnsi" w:hAnsiTheme="minorHAnsi" w:cstheme="minorHAnsi"/>
          <w:u w:val="single"/>
          <w:lang w:eastAsia="en-US"/>
        </w:rPr>
        <w:t>“in the hope” of</w:t>
      </w:r>
      <w:r w:rsidR="0003533B">
        <w:rPr>
          <w:rFonts w:asciiTheme="minorHAnsi" w:eastAsiaTheme="minorHAnsi" w:hAnsiTheme="minorHAnsi" w:cstheme="minorHAnsi"/>
          <w:lang w:eastAsia="en-US"/>
        </w:rPr>
        <w:t xml:space="preserve"> her finding a </w:t>
      </w:r>
      <w:r w:rsidR="0003533B" w:rsidRPr="00911D90">
        <w:rPr>
          <w:rFonts w:asciiTheme="minorHAnsi" w:eastAsiaTheme="minorHAnsi" w:hAnsiTheme="minorHAnsi" w:cstheme="minorHAnsi"/>
          <w:u w:val="single"/>
          <w:lang w:eastAsia="en-US"/>
        </w:rPr>
        <w:t>transfer or alternative employment</w:t>
      </w:r>
      <w:r w:rsidR="0003533B">
        <w:rPr>
          <w:rFonts w:asciiTheme="minorHAnsi" w:eastAsiaTheme="minorHAnsi" w:hAnsiTheme="minorHAnsi" w:cstheme="minorHAnsi"/>
          <w:lang w:eastAsia="en-US"/>
        </w:rPr>
        <w:t xml:space="preserve"> </w:t>
      </w:r>
      <w:r w:rsidR="00911D90">
        <w:rPr>
          <w:rFonts w:asciiTheme="minorHAnsi" w:eastAsiaTheme="minorHAnsi" w:hAnsiTheme="minorHAnsi" w:cstheme="minorHAnsi"/>
          <w:lang w:eastAsia="en-US"/>
        </w:rPr>
        <w:t xml:space="preserve">so as to join them. </w:t>
      </w:r>
      <w:r w:rsidR="003E2147" w:rsidRPr="00B65466">
        <w:rPr>
          <w:rFonts w:asciiTheme="minorHAnsi" w:eastAsiaTheme="minorHAnsi" w:hAnsiTheme="minorHAnsi" w:cstheme="minorHAnsi"/>
          <w:lang w:eastAsia="en-US"/>
        </w:rPr>
        <w:t>There is absolutely no mention of an agreement for a certain period of time, as would be later alleged. That in itself is an after-thought as it does not tie in with her own founding affidavit regardi</w:t>
      </w:r>
      <w:r w:rsidR="00B65466" w:rsidRPr="00B65466">
        <w:rPr>
          <w:rFonts w:asciiTheme="minorHAnsi" w:eastAsiaTheme="minorHAnsi" w:hAnsiTheme="minorHAnsi" w:cstheme="minorHAnsi"/>
          <w:lang w:eastAsia="en-US"/>
        </w:rPr>
        <w:t>ng the terms of such agreement.</w:t>
      </w:r>
    </w:p>
    <w:p w14:paraId="6DD34182" w14:textId="77777777" w:rsidR="00F7666B" w:rsidRDefault="00D755EF" w:rsidP="00D755EF">
      <w:pPr>
        <w:spacing w:after="200" w:line="480" w:lineRule="auto"/>
        <w:jc w:val="both"/>
        <w:rPr>
          <w:rFonts w:asciiTheme="minorHAnsi" w:eastAsiaTheme="minorHAnsi" w:hAnsiTheme="minorHAnsi" w:cstheme="minorHAnsi"/>
          <w:lang w:eastAsia="en-US"/>
        </w:rPr>
      </w:pPr>
      <w:r w:rsidRPr="002F189F">
        <w:rPr>
          <w:rFonts w:asciiTheme="minorHAnsi" w:eastAsiaTheme="minorHAnsi" w:hAnsiTheme="minorHAnsi" w:cstheme="minorHAnsi"/>
          <w:lang w:eastAsia="en-US"/>
        </w:rPr>
        <w:t xml:space="preserve">[5] </w:t>
      </w:r>
      <w:r w:rsidR="00911D90">
        <w:rPr>
          <w:rFonts w:asciiTheme="minorHAnsi" w:eastAsiaTheme="minorHAnsi" w:hAnsiTheme="minorHAnsi" w:cstheme="minorHAnsi"/>
          <w:lang w:eastAsia="en-US"/>
        </w:rPr>
        <w:t xml:space="preserve">Paragraph 3.6 of Applicant’s affidavit is critical to this application. She states that, “…we agreed that should things not go as anticipated in Johannesburg with his [sic: Respondent] job and the children, the children will come back to stay with me in the Western Cape…” Applicant travelled monthly between Cape Town and Johannesburg and she claims to have made contributions towards the children </w:t>
      </w:r>
      <w:r w:rsidR="00911D90" w:rsidRPr="00F7666B">
        <w:rPr>
          <w:rFonts w:asciiTheme="minorHAnsi" w:eastAsiaTheme="minorHAnsi" w:hAnsiTheme="minorHAnsi" w:cstheme="minorHAnsi"/>
          <w:u w:val="single"/>
          <w:lang w:eastAsia="en-US"/>
        </w:rPr>
        <w:t>through the nanny</w:t>
      </w:r>
      <w:r w:rsidR="00F7666B">
        <w:rPr>
          <w:rFonts w:asciiTheme="minorHAnsi" w:eastAsiaTheme="minorHAnsi" w:hAnsiTheme="minorHAnsi" w:cstheme="minorHAnsi"/>
          <w:lang w:eastAsia="en-US"/>
        </w:rPr>
        <w:t>.</w:t>
      </w:r>
      <w:r w:rsidR="00911D90">
        <w:rPr>
          <w:rFonts w:asciiTheme="minorHAnsi" w:eastAsiaTheme="minorHAnsi" w:hAnsiTheme="minorHAnsi" w:cstheme="minorHAnsi"/>
          <w:lang w:eastAsia="en-US"/>
        </w:rPr>
        <w:t xml:space="preserve"> </w:t>
      </w:r>
      <w:r w:rsidR="00F7666B">
        <w:rPr>
          <w:rFonts w:asciiTheme="minorHAnsi" w:eastAsiaTheme="minorHAnsi" w:hAnsiTheme="minorHAnsi" w:cstheme="minorHAnsi"/>
          <w:lang w:eastAsia="en-US"/>
        </w:rPr>
        <w:t xml:space="preserve">She also allegedly contributed to the needs of the nanny. During October 2025 the nanny left. It is clear from the papers that she was originally from Lesotho, went to attend a funeral and never returned to her employ. According to Applicant this was cause to regard same as “things not going as planned” as per their agreement. She further held that the children were unilaterally moved from Johannesburg to Mthatha without her consent or any consultation. According to </w:t>
      </w:r>
      <w:r w:rsidR="00F7666B">
        <w:rPr>
          <w:rFonts w:asciiTheme="minorHAnsi" w:eastAsiaTheme="minorHAnsi" w:hAnsiTheme="minorHAnsi" w:cstheme="minorHAnsi"/>
          <w:lang w:eastAsia="en-US"/>
        </w:rPr>
        <w:lastRenderedPageBreak/>
        <w:t>Applicant Respondent then left the children at Mthatha [sic: at his parents’ home] and returned to Johannesburg to attend to his work.</w:t>
      </w:r>
    </w:p>
    <w:p w14:paraId="6F966103" w14:textId="235511A1" w:rsidR="00D755EF" w:rsidRDefault="00F7666B"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[6] Applicant states that she was on vacation and visited the home of Respondent on 14 December 2025. She intended to take the children back with her to Cape Town. She was refused to remove the children by Respondent and his mother. What happened during that day is found in mutually destructive versions. Suffice to state that the situation became violent and it lead to </w:t>
      </w:r>
      <w:r w:rsidR="00E53A42">
        <w:rPr>
          <w:rFonts w:asciiTheme="minorHAnsi" w:eastAsiaTheme="minorHAnsi" w:hAnsiTheme="minorHAnsi" w:cstheme="minorHAnsi"/>
          <w:lang w:eastAsia="en-US"/>
        </w:rPr>
        <w:t>charges filed with SAPS</w:t>
      </w:r>
      <w:r w:rsidR="00E53A42">
        <w:rPr>
          <w:rStyle w:val="FootnoteReference"/>
          <w:rFonts w:asciiTheme="minorHAnsi" w:eastAsiaTheme="minorHAnsi" w:hAnsiTheme="minorHAnsi" w:cstheme="minorHAnsi"/>
          <w:lang w:eastAsia="en-US"/>
        </w:rPr>
        <w:footnoteReference w:id="8"/>
      </w:r>
      <w:r w:rsidR="00E53A42">
        <w:rPr>
          <w:rFonts w:asciiTheme="minorHAnsi" w:eastAsiaTheme="minorHAnsi" w:hAnsiTheme="minorHAnsi" w:cstheme="minorHAnsi"/>
          <w:lang w:eastAsia="en-US"/>
        </w:rPr>
        <w:t xml:space="preserve"> between the various parties. This also lead to applications for protection orders in terms of the DVA</w:t>
      </w:r>
      <w:r w:rsidR="00E53A42">
        <w:rPr>
          <w:rStyle w:val="FootnoteReference"/>
          <w:rFonts w:asciiTheme="minorHAnsi" w:eastAsiaTheme="minorHAnsi" w:hAnsiTheme="minorHAnsi" w:cstheme="minorHAnsi"/>
          <w:lang w:eastAsia="en-US"/>
        </w:rPr>
        <w:footnoteReference w:id="9"/>
      </w:r>
      <w:r w:rsidR="00911D90">
        <w:rPr>
          <w:rFonts w:asciiTheme="minorHAnsi" w:eastAsiaTheme="minorHAnsi" w:hAnsiTheme="minorHAnsi" w:cstheme="minorHAnsi"/>
          <w:lang w:eastAsia="en-US"/>
        </w:rPr>
        <w:t xml:space="preserve"> </w:t>
      </w:r>
      <w:r w:rsidR="00E53A42" w:rsidRPr="00E53A42">
        <w:rPr>
          <w:rFonts w:asciiTheme="minorHAnsi" w:eastAsiaTheme="minorHAnsi" w:hAnsiTheme="minorHAnsi" w:cstheme="minorHAnsi"/>
          <w:i/>
          <w:lang w:eastAsia="en-US"/>
        </w:rPr>
        <w:t>inter se</w:t>
      </w:r>
      <w:r w:rsidR="00B65466">
        <w:rPr>
          <w:rFonts w:asciiTheme="minorHAnsi" w:eastAsiaTheme="minorHAnsi" w:hAnsiTheme="minorHAnsi" w:cstheme="minorHAnsi"/>
          <w:iCs/>
          <w:lang w:eastAsia="en-US"/>
        </w:rPr>
        <w:t>, as well as protection orders against Applicant in favour of all or some of the other cited Respondents in terms of PFHA</w:t>
      </w:r>
      <w:r w:rsidR="00B65466">
        <w:rPr>
          <w:rStyle w:val="FootnoteReference"/>
          <w:rFonts w:asciiTheme="minorHAnsi" w:eastAsiaTheme="minorHAnsi" w:hAnsiTheme="minorHAnsi" w:cstheme="minorHAnsi"/>
          <w:iCs/>
          <w:lang w:eastAsia="en-US"/>
        </w:rPr>
        <w:footnoteReference w:id="10"/>
      </w:r>
      <w:r w:rsidR="00E53A42">
        <w:rPr>
          <w:rFonts w:asciiTheme="minorHAnsi" w:eastAsiaTheme="minorHAnsi" w:hAnsiTheme="minorHAnsi" w:cstheme="minorHAnsi"/>
          <w:i/>
          <w:lang w:eastAsia="en-US"/>
        </w:rPr>
        <w:t>.</w:t>
      </w:r>
      <w:r w:rsidR="00E53A42">
        <w:rPr>
          <w:rFonts w:asciiTheme="minorHAnsi" w:eastAsiaTheme="minorHAnsi" w:hAnsiTheme="minorHAnsi" w:cstheme="minorHAnsi"/>
          <w:lang w:eastAsia="en-US"/>
        </w:rPr>
        <w:t xml:space="preserve"> It is not in dispute that a cabal erupted and it behoves no further interrogation for purposes of this application and judgment. Applicant claims that she was chased away. At this juncture it is very important to state that the Respondent’s contention that the Applicant was put up in a bed and breakfast across the street from his parents’ house which was paid for by him is not disputed by </w:t>
      </w:r>
      <w:r w:rsidR="00E53A42" w:rsidRPr="00B65466">
        <w:rPr>
          <w:rFonts w:asciiTheme="minorHAnsi" w:eastAsiaTheme="minorHAnsi" w:hAnsiTheme="minorHAnsi" w:cstheme="minorHAnsi"/>
          <w:bCs/>
          <w:lang w:eastAsia="en-US"/>
        </w:rPr>
        <w:t>Applicant</w:t>
      </w:r>
      <w:r w:rsidR="00E53A42" w:rsidRPr="00E33391">
        <w:rPr>
          <w:rFonts w:asciiTheme="minorHAnsi" w:eastAsiaTheme="minorHAnsi" w:hAnsiTheme="minorHAnsi" w:cstheme="minorHAnsi"/>
          <w:b/>
          <w:color w:val="FF0000"/>
          <w:lang w:eastAsia="en-US"/>
        </w:rPr>
        <w:t xml:space="preserve"> </w:t>
      </w:r>
      <w:r w:rsidR="00E53A42">
        <w:rPr>
          <w:rFonts w:asciiTheme="minorHAnsi" w:eastAsiaTheme="minorHAnsi" w:hAnsiTheme="minorHAnsi" w:cstheme="minorHAnsi"/>
          <w:lang w:eastAsia="en-US"/>
        </w:rPr>
        <w:t xml:space="preserve">and </w:t>
      </w:r>
      <w:r w:rsidR="00E53A42" w:rsidRPr="00B65466">
        <w:rPr>
          <w:rFonts w:asciiTheme="minorHAnsi" w:eastAsiaTheme="minorHAnsi" w:hAnsiTheme="minorHAnsi" w:cstheme="minorHAnsi"/>
          <w:bCs/>
          <w:lang w:eastAsia="en-US"/>
        </w:rPr>
        <w:t>conveniently or deliberately excluded from her founding papers</w:t>
      </w:r>
      <w:r w:rsidR="00E53A42">
        <w:rPr>
          <w:rFonts w:asciiTheme="minorHAnsi" w:eastAsiaTheme="minorHAnsi" w:hAnsiTheme="minorHAnsi" w:cstheme="minorHAnsi"/>
          <w:lang w:eastAsia="en-US"/>
        </w:rPr>
        <w:t xml:space="preserve">. It was </w:t>
      </w:r>
      <w:r w:rsidR="00E33391">
        <w:rPr>
          <w:rFonts w:asciiTheme="minorHAnsi" w:eastAsiaTheme="minorHAnsi" w:hAnsiTheme="minorHAnsi" w:cstheme="minorHAnsi"/>
          <w:lang w:eastAsia="en-US"/>
        </w:rPr>
        <w:t xml:space="preserve">only </w:t>
      </w:r>
      <w:r w:rsidR="00E53A42" w:rsidRPr="00B65466">
        <w:rPr>
          <w:rFonts w:asciiTheme="minorHAnsi" w:eastAsiaTheme="minorHAnsi" w:hAnsiTheme="minorHAnsi" w:cstheme="minorHAnsi"/>
          <w:bCs/>
          <w:lang w:eastAsia="en-US"/>
        </w:rPr>
        <w:t>late in argument</w:t>
      </w:r>
      <w:r w:rsidR="00E53A42" w:rsidRPr="00B65466">
        <w:rPr>
          <w:rFonts w:asciiTheme="minorHAnsi" w:eastAsiaTheme="minorHAnsi" w:hAnsiTheme="minorHAnsi" w:cstheme="minorHAnsi"/>
          <w:lang w:eastAsia="en-US"/>
        </w:rPr>
        <w:t xml:space="preserve"> </w:t>
      </w:r>
      <w:r w:rsidR="00E53A42">
        <w:rPr>
          <w:rFonts w:asciiTheme="minorHAnsi" w:eastAsiaTheme="minorHAnsi" w:hAnsiTheme="minorHAnsi" w:cstheme="minorHAnsi"/>
          <w:lang w:eastAsia="en-US"/>
        </w:rPr>
        <w:t>that this was stated by Mr Mengo on behalf of Applicant.</w:t>
      </w:r>
    </w:p>
    <w:p w14:paraId="57B70200" w14:textId="178B5F89" w:rsidR="00E33391" w:rsidRDefault="00E33391"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[7] It is not disputed that Respondent gave clear instructions not to release the children to Applicant who went to Respondent’s home</w:t>
      </w:r>
      <w:r>
        <w:rPr>
          <w:rStyle w:val="FootnoteReference"/>
          <w:rFonts w:asciiTheme="minorHAnsi" w:eastAsiaTheme="minorHAnsi" w:hAnsiTheme="minorHAnsi" w:cstheme="minorHAnsi"/>
          <w:lang w:eastAsia="en-US"/>
        </w:rPr>
        <w:footnoteReference w:id="11"/>
      </w:r>
      <w:r>
        <w:rPr>
          <w:rFonts w:asciiTheme="minorHAnsi" w:eastAsiaTheme="minorHAnsi" w:hAnsiTheme="minorHAnsi" w:cstheme="minorHAnsi"/>
          <w:lang w:eastAsia="en-US"/>
        </w:rPr>
        <w:t xml:space="preserve">. Applicant states that she </w:t>
      </w:r>
      <w:r w:rsidRPr="00B65466">
        <w:rPr>
          <w:rFonts w:asciiTheme="minorHAnsi" w:eastAsiaTheme="minorHAnsi" w:hAnsiTheme="minorHAnsi" w:cstheme="minorHAnsi"/>
          <w:bCs/>
          <w:lang w:eastAsia="en-US"/>
        </w:rPr>
        <w:t>went there to “take my children”</w:t>
      </w:r>
      <w:r>
        <w:rPr>
          <w:rFonts w:asciiTheme="minorHAnsi" w:eastAsiaTheme="minorHAnsi" w:hAnsiTheme="minorHAnsi" w:cstheme="minorHAnsi"/>
          <w:lang w:eastAsia="en-US"/>
        </w:rPr>
        <w:t xml:space="preserve"> and her clothes. She attended there in the company of her friend, </w:t>
      </w:r>
      <w:r w:rsidRPr="00B65466">
        <w:rPr>
          <w:rFonts w:asciiTheme="minorHAnsi" w:eastAsiaTheme="minorHAnsi" w:hAnsiTheme="minorHAnsi" w:cstheme="minorHAnsi"/>
          <w:lang w:eastAsia="en-US"/>
        </w:rPr>
        <w:t>Zomzi Mlanjeni</w:t>
      </w:r>
      <w:r w:rsidR="00006E91">
        <w:rPr>
          <w:rStyle w:val="FootnoteReference"/>
          <w:rFonts w:asciiTheme="minorHAnsi" w:eastAsiaTheme="minorHAnsi" w:hAnsiTheme="minorHAnsi" w:cstheme="minorHAnsi"/>
          <w:lang w:eastAsia="en-US"/>
        </w:rPr>
        <w:footnoteReference w:id="12"/>
      </w:r>
      <w:r>
        <w:rPr>
          <w:rFonts w:asciiTheme="minorHAnsi" w:eastAsiaTheme="minorHAnsi" w:hAnsiTheme="minorHAnsi" w:cstheme="minorHAnsi"/>
          <w:lang w:eastAsia="en-US"/>
        </w:rPr>
        <w:t>, and an officer from the KSD</w:t>
      </w:r>
      <w:r>
        <w:rPr>
          <w:rStyle w:val="FootnoteReference"/>
          <w:rFonts w:asciiTheme="minorHAnsi" w:eastAsiaTheme="minorHAnsi" w:hAnsiTheme="minorHAnsi" w:cstheme="minorHAnsi"/>
          <w:lang w:eastAsia="en-US"/>
        </w:rPr>
        <w:footnoteReference w:id="13"/>
      </w:r>
      <w:r>
        <w:rPr>
          <w:rFonts w:asciiTheme="minorHAnsi" w:eastAsiaTheme="minorHAnsi" w:hAnsiTheme="minorHAnsi" w:cstheme="minorHAnsi"/>
          <w:lang w:eastAsia="en-US"/>
        </w:rPr>
        <w:t xml:space="preserve"> Law Enforcement Unit, one Mzekelo Tiwani. </w:t>
      </w:r>
      <w:r>
        <w:rPr>
          <w:rFonts w:asciiTheme="minorHAnsi" w:eastAsiaTheme="minorHAnsi" w:hAnsiTheme="minorHAnsi" w:cstheme="minorHAnsi"/>
          <w:lang w:eastAsia="en-US"/>
        </w:rPr>
        <w:lastRenderedPageBreak/>
        <w:t xml:space="preserve">Whether the officer went there in his official or private capacity is not known to this court. The inference is clear, though, that they were both there as witnesses. There is no evidence or suggestion that officer Tiwani performed any act in execution of any duty. Applicant left and </w:t>
      </w:r>
      <w:r w:rsidRPr="00E33391">
        <w:rPr>
          <w:rFonts w:asciiTheme="minorHAnsi" w:eastAsiaTheme="minorHAnsi" w:hAnsiTheme="minorHAnsi" w:cstheme="minorHAnsi"/>
          <w:u w:val="single"/>
          <w:lang w:eastAsia="en-US"/>
        </w:rPr>
        <w:t>took the clothes she had bought for the children</w:t>
      </w:r>
      <w:r>
        <w:rPr>
          <w:rFonts w:asciiTheme="minorHAnsi" w:eastAsiaTheme="minorHAnsi" w:hAnsiTheme="minorHAnsi" w:cstheme="minorHAnsi"/>
          <w:lang w:eastAsia="en-US"/>
        </w:rPr>
        <w:t xml:space="preserve"> as she “wanted her children back”. </w:t>
      </w:r>
      <w:r w:rsidR="00FA7B79">
        <w:rPr>
          <w:rFonts w:asciiTheme="minorHAnsi" w:eastAsiaTheme="minorHAnsi" w:hAnsiTheme="minorHAnsi" w:cstheme="minorHAnsi"/>
          <w:lang w:eastAsia="en-US"/>
        </w:rPr>
        <w:t>On 19 December 2025 Applicant communicated with Respondent and requested to see the children to which Respondent had no objection. She requested that they be allowed to spend two days with her. This was turned down as the Respondent stated that they already had plans as a family. There was further communication between the parties that did not produce the outcome Applicant sought. The context hereof is found in the fact that the requests were made in the run-up to Christmas. I also pause to state that the actions of Respondent, though understood, was cause for the Applicant being aggrieved at the time.</w:t>
      </w:r>
    </w:p>
    <w:p w14:paraId="4F5760B8" w14:textId="3E208609" w:rsidR="00C35499" w:rsidRDefault="00FA7B79"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[8] Respondent informed Applicant that he is not allowing Applicant to have the children in her custody unsupervised. This must also be read with the condition contained in the protection order issued in terms of DVA against Applicant that she was not to enter the Respondent’s premises. </w:t>
      </w:r>
      <w:r w:rsidR="00C35499">
        <w:rPr>
          <w:rFonts w:asciiTheme="minorHAnsi" w:eastAsiaTheme="minorHAnsi" w:hAnsiTheme="minorHAnsi" w:cstheme="minorHAnsi"/>
          <w:lang w:eastAsia="en-US"/>
        </w:rPr>
        <w:t xml:space="preserve">She was also prohibited from having contact with or communicate with the family of Respondent. However, she was allowed access to her children. </w:t>
      </w:r>
      <w:r>
        <w:rPr>
          <w:rFonts w:asciiTheme="minorHAnsi" w:eastAsiaTheme="minorHAnsi" w:hAnsiTheme="minorHAnsi" w:cstheme="minorHAnsi"/>
          <w:lang w:eastAsia="en-US"/>
        </w:rPr>
        <w:t>Applicant had to make arrangements in this regard and Respondent had a concomitant duty to facilitate the access</w:t>
      </w:r>
      <w:r w:rsidR="00C35499">
        <w:rPr>
          <w:rFonts w:asciiTheme="minorHAnsi" w:eastAsiaTheme="minorHAnsi" w:hAnsiTheme="minorHAnsi" w:cstheme="minorHAnsi"/>
          <w:lang w:eastAsia="en-US"/>
        </w:rPr>
        <w:t xml:space="preserve">, which frankly he did not manage well, </w:t>
      </w:r>
      <w:r>
        <w:rPr>
          <w:rFonts w:asciiTheme="minorHAnsi" w:eastAsiaTheme="minorHAnsi" w:hAnsiTheme="minorHAnsi" w:cstheme="minorHAnsi"/>
          <w:lang w:eastAsia="en-US"/>
        </w:rPr>
        <w:t>as parent to the children</w:t>
      </w:r>
      <w:r w:rsidR="00C35499">
        <w:rPr>
          <w:rFonts w:asciiTheme="minorHAnsi" w:eastAsiaTheme="minorHAnsi" w:hAnsiTheme="minorHAnsi" w:cstheme="minorHAnsi"/>
          <w:lang w:eastAsia="en-US"/>
        </w:rPr>
        <w:t xml:space="preserve"> as well as in terms of the different protection orders</w:t>
      </w:r>
      <w:r>
        <w:rPr>
          <w:rFonts w:asciiTheme="minorHAnsi" w:eastAsiaTheme="minorHAnsi" w:hAnsiTheme="minorHAnsi" w:cstheme="minorHAnsi"/>
          <w:lang w:eastAsia="en-US"/>
        </w:rPr>
        <w:t>. Applicant had to return to Cape Town on 4 January 2026 to resume work.</w:t>
      </w:r>
      <w:r w:rsidR="00C35499">
        <w:rPr>
          <w:rFonts w:asciiTheme="minorHAnsi" w:eastAsiaTheme="minorHAnsi" w:hAnsiTheme="minorHAnsi" w:cstheme="minorHAnsi"/>
          <w:lang w:eastAsia="en-US"/>
        </w:rPr>
        <w:t xml:space="preserve"> Once Respondent left for Johannesburg it will no doubt leave Applicant in a position where she will not be able to exercise her right to access appropriately and as one may expect.</w:t>
      </w:r>
      <w:r w:rsidR="00552E0F">
        <w:rPr>
          <w:rFonts w:asciiTheme="minorHAnsi" w:eastAsiaTheme="minorHAnsi" w:hAnsiTheme="minorHAnsi" w:cstheme="minorHAnsi"/>
          <w:lang w:eastAsia="en-US"/>
        </w:rPr>
        <w:t xml:space="preserve"> The court has to express its displeasure at how this </w:t>
      </w:r>
      <w:r w:rsidR="00552E0F">
        <w:rPr>
          <w:rFonts w:asciiTheme="minorHAnsi" w:eastAsiaTheme="minorHAnsi" w:hAnsiTheme="minorHAnsi" w:cstheme="minorHAnsi"/>
          <w:lang w:eastAsia="en-US"/>
        </w:rPr>
        <w:lastRenderedPageBreak/>
        <w:t xml:space="preserve">unfolded, while not </w:t>
      </w:r>
      <w:r w:rsidR="00EF51C3">
        <w:rPr>
          <w:rFonts w:asciiTheme="minorHAnsi" w:eastAsiaTheme="minorHAnsi" w:hAnsiTheme="minorHAnsi" w:cstheme="minorHAnsi"/>
          <w:lang w:eastAsia="en-US"/>
        </w:rPr>
        <w:t xml:space="preserve">disregarding the actions of Applicant in causing or in the very least contributing to this heightened vigilance as far as the children are concerned. </w:t>
      </w:r>
    </w:p>
    <w:p w14:paraId="10A7CA32" w14:textId="7C835BB1" w:rsidR="00FA7B79" w:rsidRDefault="00C35499"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[9] Applicant states that Respondent may take the children anywhere in Africa and for that matter the world because they are registered under his name. I will deal with the rights and duties further on in this judgment. It is clear from the papers before court that Respondent has not done anything to date to cause this anxiety with Applicant. There is no basis for this allegation or trepidation. </w:t>
      </w:r>
      <w:r w:rsidR="001E39BA">
        <w:rPr>
          <w:rFonts w:asciiTheme="minorHAnsi" w:eastAsiaTheme="minorHAnsi" w:hAnsiTheme="minorHAnsi" w:cstheme="minorHAnsi"/>
          <w:lang w:eastAsia="en-US"/>
        </w:rPr>
        <w:t xml:space="preserve">She states </w:t>
      </w:r>
      <w:r w:rsidR="00244233">
        <w:rPr>
          <w:rFonts w:asciiTheme="minorHAnsi" w:eastAsiaTheme="minorHAnsi" w:hAnsiTheme="minorHAnsi" w:cstheme="minorHAnsi"/>
          <w:lang w:eastAsia="en-US"/>
        </w:rPr>
        <w:t xml:space="preserve">that she is raising her ten year old son at Cape Town, and the court is aware that this is done with great assistance from her mother who appears to be living at Cape Town as well. Applicant states that her son will lose out in bonding with his siblings. She further states that both her and the children will suffer irreparable harm if the application is refused. </w:t>
      </w:r>
      <w:bookmarkStart w:id="0" w:name="_Hlk220617697"/>
      <w:r w:rsidR="00244233" w:rsidRPr="00B65466">
        <w:rPr>
          <w:rFonts w:asciiTheme="minorHAnsi" w:eastAsiaTheme="minorHAnsi" w:hAnsiTheme="minorHAnsi" w:cstheme="minorHAnsi"/>
          <w:bCs/>
          <w:lang w:eastAsia="en-US"/>
        </w:rPr>
        <w:t xml:space="preserve">Applicant states that Respondent failed to keep the nanny and that this is evidence of “that he </w:t>
      </w:r>
      <w:r w:rsidR="00244233" w:rsidRPr="00B65466">
        <w:rPr>
          <w:rFonts w:asciiTheme="minorHAnsi" w:eastAsiaTheme="minorHAnsi" w:hAnsiTheme="minorHAnsi" w:cstheme="minorHAnsi"/>
          <w:bCs/>
          <w:u w:val="single"/>
          <w:lang w:eastAsia="en-US"/>
        </w:rPr>
        <w:t>abdicated his duties</w:t>
      </w:r>
      <w:r w:rsidR="00244233" w:rsidRPr="00B65466">
        <w:rPr>
          <w:rFonts w:asciiTheme="minorHAnsi" w:eastAsiaTheme="minorHAnsi" w:hAnsiTheme="minorHAnsi" w:cstheme="minorHAnsi"/>
          <w:bCs/>
          <w:lang w:eastAsia="en-US"/>
        </w:rPr>
        <w:t xml:space="preserve"> and instead </w:t>
      </w:r>
      <w:r w:rsidR="00244233" w:rsidRPr="00B65466">
        <w:rPr>
          <w:rFonts w:asciiTheme="minorHAnsi" w:eastAsiaTheme="minorHAnsi" w:hAnsiTheme="minorHAnsi" w:cstheme="minorHAnsi"/>
          <w:bCs/>
          <w:u w:val="single"/>
          <w:lang w:eastAsia="en-US"/>
        </w:rPr>
        <w:t>chose his parents and siblings over me</w:t>
      </w:r>
      <w:r w:rsidR="00244233" w:rsidRPr="00B65466">
        <w:rPr>
          <w:rFonts w:asciiTheme="minorHAnsi" w:eastAsiaTheme="minorHAnsi" w:hAnsiTheme="minorHAnsi" w:cstheme="minorHAnsi"/>
          <w:bCs/>
          <w:lang w:eastAsia="en-US"/>
        </w:rPr>
        <w:t>…biological mother of the children”.</w:t>
      </w:r>
      <w:r w:rsidR="00244233" w:rsidRPr="00244233">
        <w:rPr>
          <w:rFonts w:asciiTheme="minorHAnsi" w:eastAsiaTheme="minorHAnsi" w:hAnsiTheme="minorHAnsi" w:cstheme="minorHAnsi"/>
          <w:color w:val="FF0000"/>
          <w:lang w:eastAsia="en-US"/>
        </w:rPr>
        <w:t xml:space="preserve"> </w:t>
      </w:r>
      <w:bookmarkEnd w:id="0"/>
      <w:r w:rsidR="00244233">
        <w:rPr>
          <w:rFonts w:asciiTheme="minorHAnsi" w:eastAsiaTheme="minorHAnsi" w:hAnsiTheme="minorHAnsi" w:cstheme="minorHAnsi"/>
          <w:lang w:eastAsia="en-US"/>
        </w:rPr>
        <w:t xml:space="preserve">She then continues to state that the </w:t>
      </w:r>
      <w:r w:rsidR="00244233" w:rsidRPr="00244233">
        <w:rPr>
          <w:rFonts w:asciiTheme="minorHAnsi" w:eastAsiaTheme="minorHAnsi" w:hAnsiTheme="minorHAnsi" w:cstheme="minorHAnsi"/>
          <w:u w:val="single"/>
          <w:lang w:eastAsia="en-US"/>
        </w:rPr>
        <w:t>children are vulnerable</w:t>
      </w:r>
      <w:r w:rsidR="00244233">
        <w:rPr>
          <w:rFonts w:asciiTheme="minorHAnsi" w:eastAsiaTheme="minorHAnsi" w:hAnsiTheme="minorHAnsi" w:cstheme="minorHAnsi"/>
          <w:lang w:eastAsia="en-US"/>
        </w:rPr>
        <w:t xml:space="preserve"> and that she </w:t>
      </w:r>
      <w:r w:rsidR="00244233" w:rsidRPr="00244233">
        <w:rPr>
          <w:rFonts w:asciiTheme="minorHAnsi" w:eastAsiaTheme="minorHAnsi" w:hAnsiTheme="minorHAnsi" w:cstheme="minorHAnsi"/>
          <w:u w:val="single"/>
          <w:lang w:eastAsia="en-US"/>
        </w:rPr>
        <w:t>stands to lose them permanently</w:t>
      </w:r>
      <w:r w:rsidR="00244233">
        <w:rPr>
          <w:rFonts w:asciiTheme="minorHAnsi" w:eastAsiaTheme="minorHAnsi" w:hAnsiTheme="minorHAnsi" w:cstheme="minorHAnsi"/>
          <w:lang w:eastAsia="en-US"/>
        </w:rPr>
        <w:t>.</w:t>
      </w:r>
    </w:p>
    <w:p w14:paraId="56618A43" w14:textId="4AF4E18A" w:rsidR="00244233" w:rsidRDefault="00244233"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[10] There is no evidence to support the contention in paragraph 4.1 (m) that Respondent will vanish with the children. Prior conduct suggests quite the opposite. The application is premised on the alleged “brutal and deliberate refusal of access to my children on 15 December 2025”. </w:t>
      </w:r>
      <w:r w:rsidR="00A374C7">
        <w:rPr>
          <w:rFonts w:asciiTheme="minorHAnsi" w:eastAsiaTheme="minorHAnsi" w:hAnsiTheme="minorHAnsi" w:cstheme="minorHAnsi"/>
          <w:lang w:eastAsia="en-US"/>
        </w:rPr>
        <w:t xml:space="preserve">Applicant consulted her legal representative on 19 December 2025. The latter had already closed for the December holiday period but held he will return and attend to the matter on 27 December 2025, to consult with Applicant. </w:t>
      </w:r>
      <w:r w:rsidR="00C31230">
        <w:rPr>
          <w:rFonts w:asciiTheme="minorHAnsi" w:eastAsiaTheme="minorHAnsi" w:hAnsiTheme="minorHAnsi" w:cstheme="minorHAnsi"/>
          <w:lang w:eastAsia="en-US"/>
        </w:rPr>
        <w:t>It needs to be emphasized that the application s</w:t>
      </w:r>
      <w:r w:rsidR="008C2F3B">
        <w:rPr>
          <w:rFonts w:asciiTheme="minorHAnsi" w:eastAsiaTheme="minorHAnsi" w:hAnsiTheme="minorHAnsi" w:cstheme="minorHAnsi"/>
          <w:lang w:eastAsia="en-US"/>
        </w:rPr>
        <w:t xml:space="preserve">eeks reasonable care and contact pending a final determination regarding permanent residence and custody. The court allowed greater freedom in the filing of pleadings in this matter than what will be generally acceptable. This was done in the </w:t>
      </w:r>
      <w:r w:rsidR="008C2F3B">
        <w:rPr>
          <w:rFonts w:asciiTheme="minorHAnsi" w:eastAsiaTheme="minorHAnsi" w:hAnsiTheme="minorHAnsi" w:cstheme="minorHAnsi"/>
          <w:lang w:eastAsia="en-US"/>
        </w:rPr>
        <w:lastRenderedPageBreak/>
        <w:t xml:space="preserve">knowledge and understanding that this matter </w:t>
      </w:r>
      <w:r w:rsidR="004C1011">
        <w:rPr>
          <w:rFonts w:asciiTheme="minorHAnsi" w:eastAsiaTheme="minorHAnsi" w:hAnsiTheme="minorHAnsi" w:cstheme="minorHAnsi"/>
          <w:lang w:eastAsia="en-US"/>
        </w:rPr>
        <w:t>finds resonance not only in the CA but ultimately in our Constitution</w:t>
      </w:r>
      <w:r w:rsidR="004C1011">
        <w:rPr>
          <w:rStyle w:val="FootnoteReference"/>
          <w:rFonts w:asciiTheme="minorHAnsi" w:eastAsiaTheme="minorHAnsi" w:hAnsiTheme="minorHAnsi" w:cstheme="minorHAnsi"/>
          <w:lang w:eastAsia="en-US"/>
        </w:rPr>
        <w:footnoteReference w:id="14"/>
      </w:r>
      <w:r w:rsidR="004C1011">
        <w:rPr>
          <w:rFonts w:asciiTheme="minorHAnsi" w:eastAsiaTheme="minorHAnsi" w:hAnsiTheme="minorHAnsi" w:cstheme="minorHAnsi"/>
          <w:lang w:eastAsia="en-US"/>
        </w:rPr>
        <w:t>. The court has to place substance over form in order that the best interests of the children may be given the paramount importance</w:t>
      </w:r>
      <w:r w:rsidR="004C1011">
        <w:rPr>
          <w:rStyle w:val="FootnoteReference"/>
          <w:rFonts w:asciiTheme="minorHAnsi" w:eastAsiaTheme="minorHAnsi" w:hAnsiTheme="minorHAnsi" w:cstheme="minorHAnsi"/>
          <w:lang w:eastAsia="en-US"/>
        </w:rPr>
        <w:footnoteReference w:id="15"/>
      </w:r>
      <w:r w:rsidR="004C1011">
        <w:rPr>
          <w:rFonts w:asciiTheme="minorHAnsi" w:eastAsiaTheme="minorHAnsi" w:hAnsiTheme="minorHAnsi" w:cstheme="minorHAnsi"/>
          <w:lang w:eastAsia="en-US"/>
        </w:rPr>
        <w:t xml:space="preserve"> required and deserved.</w:t>
      </w:r>
    </w:p>
    <w:p w14:paraId="5B1F3D97" w14:textId="77777777" w:rsidR="00006E91" w:rsidRDefault="004C1011"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[12] Applicant alleges in a supplementary affidavit per paragraph 5.2 thereof that the children are in the custody of the 2</w:t>
      </w:r>
      <w:r w:rsidRPr="004C1011">
        <w:rPr>
          <w:rFonts w:asciiTheme="minorHAnsi" w:eastAsiaTheme="minorHAnsi" w:hAnsiTheme="minorHAnsi" w:cstheme="minorHAnsi"/>
          <w:vertAlign w:val="superscript"/>
          <w:lang w:eastAsia="en-US"/>
        </w:rPr>
        <w:t>nd</w:t>
      </w:r>
      <w:r>
        <w:rPr>
          <w:rFonts w:asciiTheme="minorHAnsi" w:eastAsiaTheme="minorHAnsi" w:hAnsiTheme="minorHAnsi" w:cstheme="minorHAnsi"/>
          <w:lang w:eastAsia="en-US"/>
        </w:rPr>
        <w:t xml:space="preserve"> and 3</w:t>
      </w:r>
      <w:r w:rsidRPr="004C1011">
        <w:rPr>
          <w:rFonts w:asciiTheme="minorHAnsi" w:eastAsiaTheme="minorHAnsi" w:hAnsiTheme="minorHAnsi" w:cstheme="minorHAnsi"/>
          <w:vertAlign w:val="superscript"/>
          <w:lang w:eastAsia="en-US"/>
        </w:rPr>
        <w:t>rd</w:t>
      </w:r>
      <w:r>
        <w:rPr>
          <w:rFonts w:asciiTheme="minorHAnsi" w:eastAsiaTheme="minorHAnsi" w:hAnsiTheme="minorHAnsi" w:cstheme="minorHAnsi"/>
          <w:lang w:eastAsia="en-US"/>
        </w:rPr>
        <w:t xml:space="preserve"> Respondents, the parents of Respondent. There is no court order nor any evidence to factually substantiate this allegation. It is clear that Respondents 2 through 5 were instructed by Respondent as far as </w:t>
      </w:r>
      <w:r w:rsidR="006F6FA4">
        <w:rPr>
          <w:rFonts w:asciiTheme="minorHAnsi" w:eastAsiaTheme="minorHAnsi" w:hAnsiTheme="minorHAnsi" w:cstheme="minorHAnsi"/>
          <w:lang w:eastAsia="en-US"/>
        </w:rPr>
        <w:t>release of the children into Applicant’s care as well as her contact with the children. That is not in dispute. It factually supports the notion that the Respondent was exercising control over the children, even if remotely. The Applicant’s attempts in applying for employment at or near Johannesburg are not disputed and, if so, cannot be disregarded by the court, as proof thereof had been submitted before the court. Applicant alleges that the Respondent and his family have a “collective notion to permanently deprive me of access to my children.”  There is no evidence to support this. It is premised on the events of 15 December 2025 when she was denied access to the children. This must be contextualised</w:t>
      </w:r>
      <w:r w:rsidR="00006E91">
        <w:rPr>
          <w:rFonts w:asciiTheme="minorHAnsi" w:eastAsiaTheme="minorHAnsi" w:hAnsiTheme="minorHAnsi" w:cstheme="minorHAnsi"/>
          <w:lang w:eastAsia="en-US"/>
        </w:rPr>
        <w:t xml:space="preserve"> as i</w:t>
      </w:r>
      <w:r w:rsidR="006F6FA4">
        <w:rPr>
          <w:rFonts w:asciiTheme="minorHAnsi" w:eastAsiaTheme="minorHAnsi" w:hAnsiTheme="minorHAnsi" w:cstheme="minorHAnsi"/>
          <w:lang w:eastAsia="en-US"/>
        </w:rPr>
        <w:t xml:space="preserve">t </w:t>
      </w:r>
      <w:r w:rsidR="00006E91">
        <w:rPr>
          <w:rFonts w:asciiTheme="minorHAnsi" w:eastAsiaTheme="minorHAnsi" w:hAnsiTheme="minorHAnsi" w:cstheme="minorHAnsi"/>
          <w:lang w:eastAsia="en-US"/>
        </w:rPr>
        <w:t xml:space="preserve">was barely a day after the Applicant’s intent to remove the children permanently from the care and custody of Respondent and the ensuing altercation. </w:t>
      </w:r>
    </w:p>
    <w:p w14:paraId="198FB88A" w14:textId="227D0CE0" w:rsidR="00FA7B79" w:rsidRDefault="00006E91"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[13] Applicant states that </w:t>
      </w:r>
      <w:r w:rsidRPr="00100E5B">
        <w:rPr>
          <w:rFonts w:asciiTheme="minorHAnsi" w:eastAsiaTheme="minorHAnsi" w:hAnsiTheme="minorHAnsi" w:cstheme="minorHAnsi"/>
          <w:lang w:eastAsia="en-US"/>
        </w:rPr>
        <w:t>Zomzi</w:t>
      </w:r>
      <w:r w:rsidR="006F6FA4" w:rsidRPr="00100E5B">
        <w:rPr>
          <w:rFonts w:asciiTheme="minorHAnsi" w:eastAsiaTheme="minorHAnsi" w:hAnsiTheme="minorHAnsi" w:cstheme="minorHAnsi"/>
          <w:lang w:eastAsia="en-US"/>
        </w:rPr>
        <w:t xml:space="preserve"> </w:t>
      </w:r>
      <w:r w:rsidRPr="00100E5B">
        <w:rPr>
          <w:rFonts w:asciiTheme="minorHAnsi" w:eastAsiaTheme="minorHAnsi" w:hAnsiTheme="minorHAnsi" w:cstheme="minorHAnsi"/>
          <w:lang w:eastAsia="en-US"/>
        </w:rPr>
        <w:t>was the only person she could rely upon [see para 1 above]</w:t>
      </w:r>
      <w:r w:rsidRPr="00006E91">
        <w:rPr>
          <w:rFonts w:asciiTheme="minorHAnsi" w:eastAsiaTheme="minorHAnsi" w:hAnsiTheme="minorHAnsi" w:cstheme="minorHAnsi"/>
          <w:color w:val="FF0000"/>
          <w:lang w:eastAsia="en-US"/>
        </w:rPr>
        <w:t xml:space="preserve"> </w:t>
      </w:r>
      <w:r>
        <w:rPr>
          <w:rFonts w:asciiTheme="minorHAnsi" w:eastAsiaTheme="minorHAnsi" w:hAnsiTheme="minorHAnsi" w:cstheme="minorHAnsi"/>
          <w:lang w:eastAsia="en-US"/>
        </w:rPr>
        <w:t xml:space="preserve">to collect the children on her behalf. She was prohibited from doing so due to the conditions of the protection order issued against her. She further confirms that it was held that Zomzi was not known to them and thus the children would not be released into the care of Zomzi. </w:t>
      </w:r>
      <w:r>
        <w:rPr>
          <w:rFonts w:asciiTheme="minorHAnsi" w:eastAsiaTheme="minorHAnsi" w:hAnsiTheme="minorHAnsi" w:cstheme="minorHAnsi"/>
          <w:lang w:eastAsia="en-US"/>
        </w:rPr>
        <w:lastRenderedPageBreak/>
        <w:t>Perhaps it is prudent to record that the children are two (2) years old</w:t>
      </w:r>
      <w:r w:rsidR="00475796">
        <w:rPr>
          <w:rFonts w:asciiTheme="minorHAnsi" w:eastAsiaTheme="minorHAnsi" w:hAnsiTheme="minorHAnsi" w:cstheme="minorHAnsi"/>
          <w:lang w:eastAsia="en-US"/>
        </w:rPr>
        <w:t xml:space="preserve">, having turned two during October 2025. Applicant states that Zomzi was introduced to the Respondents on 31 December 2025 as the person to whom the children were to be released. It is alleged that Respondent through his family and upon his instructions refused the release of the children due to his mother not satisfied with the address and further details of Zomzi, despite a court order to such effect. It must be noted the court’s order is silent as to who would receive and return the children. The duty rested upon Respondent to facilitate the process to ensure compliance with the order and ensure Applicant’s rights and more importantly that of the children are </w:t>
      </w:r>
      <w:r w:rsidR="006B5E25">
        <w:rPr>
          <w:rFonts w:asciiTheme="minorHAnsi" w:eastAsiaTheme="minorHAnsi" w:hAnsiTheme="minorHAnsi" w:cstheme="minorHAnsi"/>
          <w:lang w:eastAsia="en-US"/>
        </w:rPr>
        <w:t>respected and given effect to. Frankly, Respondent is found lacking in this regard even in the face of a court order with serious consequences if found in breach of such conditions. At the time there may have been valid reservations regarding the person to be entrusted to receive the children. However, common sense ought to have dictated otherwise and I cannot but criticize the actions of Respondent and his family in this regard.</w:t>
      </w:r>
      <w:r>
        <w:rPr>
          <w:rFonts w:asciiTheme="minorHAnsi" w:eastAsiaTheme="minorHAnsi" w:hAnsiTheme="minorHAnsi" w:cstheme="minorHAnsi"/>
          <w:lang w:eastAsia="en-US"/>
        </w:rPr>
        <w:t xml:space="preserve"> </w:t>
      </w:r>
      <w:r w:rsidR="006F6FA4">
        <w:rPr>
          <w:rFonts w:asciiTheme="minorHAnsi" w:eastAsiaTheme="minorHAnsi" w:hAnsiTheme="minorHAnsi" w:cstheme="minorHAnsi"/>
          <w:lang w:eastAsia="en-US"/>
        </w:rPr>
        <w:t xml:space="preserve"> </w:t>
      </w:r>
    </w:p>
    <w:p w14:paraId="05C791D1" w14:textId="1ABA999E" w:rsidR="009361F5" w:rsidRDefault="006B5E25"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[14] The Respondent’s actions in limiting the time of access contrary to what the order states are equally deplorable. It matters not how noble Respondent attempts to colour this, it is simply not acceptable and cannot be condoned.</w:t>
      </w:r>
      <w:r w:rsidR="00062682">
        <w:rPr>
          <w:rFonts w:asciiTheme="minorHAnsi" w:eastAsiaTheme="minorHAnsi" w:hAnsiTheme="minorHAnsi" w:cstheme="minorHAnsi"/>
          <w:lang w:eastAsia="en-US"/>
        </w:rPr>
        <w:t xml:space="preserve"> Respondent is an educated individual who operates in a high level environment, as is the Applicant for that matter. There is no other inference to be drawn from Respondent’s reply to a request by Applicant that “8:30 to 18:30 refers to the window of time, hence the court order says we must agree on a time that is within 8:30 and 18:30”. This is not merely ignorant but deliberate, and found in the acrimony that was spawned on 14 December 2025 and lead to arrests by SAPS and legal action. The Respondent will no doubt be able to understand the clear wording of the order which reads, “…Applicant is </w:t>
      </w:r>
      <w:r w:rsidR="00062682" w:rsidRPr="009361F5">
        <w:rPr>
          <w:rFonts w:asciiTheme="minorHAnsi" w:eastAsiaTheme="minorHAnsi" w:hAnsiTheme="minorHAnsi" w:cstheme="minorHAnsi"/>
          <w:b/>
          <w:bCs/>
          <w:lang w:eastAsia="en-US"/>
        </w:rPr>
        <w:t>allowed contact</w:t>
      </w:r>
      <w:r w:rsidR="00062682">
        <w:rPr>
          <w:rFonts w:asciiTheme="minorHAnsi" w:eastAsiaTheme="minorHAnsi" w:hAnsiTheme="minorHAnsi" w:cstheme="minorHAnsi"/>
          <w:lang w:eastAsia="en-US"/>
        </w:rPr>
        <w:t xml:space="preserve"> with the children…every alternate </w:t>
      </w:r>
      <w:r w:rsidR="00062682">
        <w:rPr>
          <w:rFonts w:asciiTheme="minorHAnsi" w:eastAsiaTheme="minorHAnsi" w:hAnsiTheme="minorHAnsi" w:cstheme="minorHAnsi"/>
          <w:lang w:eastAsia="en-US"/>
        </w:rPr>
        <w:lastRenderedPageBreak/>
        <w:t>day…</w:t>
      </w:r>
      <w:r w:rsidR="00062682" w:rsidRPr="009361F5">
        <w:rPr>
          <w:rFonts w:asciiTheme="minorHAnsi" w:eastAsiaTheme="minorHAnsi" w:hAnsiTheme="minorHAnsi" w:cstheme="minorHAnsi"/>
          <w:b/>
          <w:bCs/>
          <w:lang w:eastAsia="en-US"/>
        </w:rPr>
        <w:t xml:space="preserve">between the hours of 08h30 </w:t>
      </w:r>
      <w:r w:rsidR="009361F5" w:rsidRPr="009361F5">
        <w:rPr>
          <w:rFonts w:asciiTheme="minorHAnsi" w:eastAsiaTheme="minorHAnsi" w:hAnsiTheme="minorHAnsi" w:cstheme="minorHAnsi"/>
          <w:b/>
          <w:bCs/>
          <w:lang w:eastAsia="en-US"/>
        </w:rPr>
        <w:t>and 18h00</w:t>
      </w:r>
      <w:r w:rsidR="009361F5">
        <w:rPr>
          <w:rFonts w:asciiTheme="minorHAnsi" w:eastAsiaTheme="minorHAnsi" w:hAnsiTheme="minorHAnsi" w:cstheme="minorHAnsi"/>
          <w:lang w:eastAsia="en-US"/>
        </w:rPr>
        <w:t>…”. I</w:t>
      </w:r>
      <w:r w:rsidR="005B186A">
        <w:rPr>
          <w:rFonts w:asciiTheme="minorHAnsi" w:eastAsiaTheme="minorHAnsi" w:hAnsiTheme="minorHAnsi" w:cstheme="minorHAnsi"/>
          <w:lang w:eastAsia="en-US"/>
        </w:rPr>
        <w:t>t</w:t>
      </w:r>
      <w:r w:rsidR="009361F5">
        <w:rPr>
          <w:rFonts w:asciiTheme="minorHAnsi" w:eastAsiaTheme="minorHAnsi" w:hAnsiTheme="minorHAnsi" w:cstheme="minorHAnsi"/>
          <w:lang w:eastAsia="en-US"/>
        </w:rPr>
        <w:t xml:space="preserve"> is not subject to the will and whim of Respondent but clear and concise. Respondent’s conduct falls way short of the requisite facilitation expected of him. His responses to communication are rather indicative of being vengeful and frustrating Applicant.</w:t>
      </w:r>
    </w:p>
    <w:p w14:paraId="506835A7" w14:textId="77777777" w:rsidR="002F4A85" w:rsidRDefault="009361F5"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[15] It is rather contrasting to the circumstances that prevailed when Applicant visited the children at Johannesburg and clearly stayed at the residence of Respondent. The papers are clear that Applicant </w:t>
      </w:r>
      <w:r w:rsidR="005B186A">
        <w:rPr>
          <w:rFonts w:asciiTheme="minorHAnsi" w:eastAsiaTheme="minorHAnsi" w:hAnsiTheme="minorHAnsi" w:cstheme="minorHAnsi"/>
          <w:lang w:eastAsia="en-US"/>
        </w:rPr>
        <w:t xml:space="preserve">visited the children monthly and the fact that Respondent contributed to the travel expenses and her upkeep while visiting are not only commendable but also indicative of a person who is aware of his responsibilities and the rights of his children as well as their biological mother. From the evidence before me I cannot conclude otherwise. It is therefore disparaging to observe the actions of parents who claim to act in the best interests of their children when they are acting selfishly and in fact losing sight of the children </w:t>
      </w:r>
      <w:r w:rsidR="002F4A85">
        <w:rPr>
          <w:rFonts w:asciiTheme="minorHAnsi" w:eastAsiaTheme="minorHAnsi" w:hAnsiTheme="minorHAnsi" w:cstheme="minorHAnsi"/>
          <w:lang w:eastAsia="en-US"/>
        </w:rPr>
        <w:t>they are to protect.</w:t>
      </w:r>
      <w:r w:rsidR="005B186A">
        <w:rPr>
          <w:rFonts w:asciiTheme="minorHAnsi" w:eastAsiaTheme="minorHAnsi" w:hAnsiTheme="minorHAnsi" w:cstheme="minorHAnsi"/>
          <w:lang w:eastAsia="en-US"/>
        </w:rPr>
        <w:t xml:space="preserve"> </w:t>
      </w:r>
      <w:r w:rsidR="002F4A85">
        <w:rPr>
          <w:rFonts w:asciiTheme="minorHAnsi" w:eastAsiaTheme="minorHAnsi" w:hAnsiTheme="minorHAnsi" w:cstheme="minorHAnsi"/>
          <w:lang w:eastAsia="en-US"/>
        </w:rPr>
        <w:t>R</w:t>
      </w:r>
      <w:r w:rsidR="005B186A">
        <w:rPr>
          <w:rFonts w:asciiTheme="minorHAnsi" w:eastAsiaTheme="minorHAnsi" w:hAnsiTheme="minorHAnsi" w:cstheme="minorHAnsi"/>
          <w:lang w:eastAsia="en-US"/>
        </w:rPr>
        <w:t xml:space="preserve">espondent is not exempted from this. </w:t>
      </w:r>
      <w:r w:rsidR="002F4A85">
        <w:rPr>
          <w:rFonts w:asciiTheme="minorHAnsi" w:eastAsiaTheme="minorHAnsi" w:hAnsiTheme="minorHAnsi" w:cstheme="minorHAnsi"/>
          <w:lang w:eastAsia="en-US"/>
        </w:rPr>
        <w:t xml:space="preserve">However, I have already alluded to the reasons why </w:t>
      </w:r>
      <w:r w:rsidR="005B186A">
        <w:rPr>
          <w:rFonts w:asciiTheme="minorHAnsi" w:eastAsiaTheme="minorHAnsi" w:hAnsiTheme="minorHAnsi" w:cstheme="minorHAnsi"/>
          <w:lang w:eastAsia="en-US"/>
        </w:rPr>
        <w:t>Applicant</w:t>
      </w:r>
      <w:r w:rsidR="002F4A85">
        <w:rPr>
          <w:rFonts w:asciiTheme="minorHAnsi" w:eastAsiaTheme="minorHAnsi" w:hAnsiTheme="minorHAnsi" w:cstheme="minorHAnsi"/>
          <w:lang w:eastAsia="en-US"/>
        </w:rPr>
        <w:t xml:space="preserve"> cannot be exonerated in this regard either</w:t>
      </w:r>
      <w:r w:rsidR="005B186A">
        <w:rPr>
          <w:rFonts w:asciiTheme="minorHAnsi" w:eastAsiaTheme="minorHAnsi" w:hAnsiTheme="minorHAnsi" w:cstheme="minorHAnsi"/>
          <w:lang w:eastAsia="en-US"/>
        </w:rPr>
        <w:t>.</w:t>
      </w:r>
      <w:r w:rsidR="002F4A85">
        <w:rPr>
          <w:rFonts w:asciiTheme="minorHAnsi" w:eastAsiaTheme="minorHAnsi" w:hAnsiTheme="minorHAnsi" w:cstheme="minorHAnsi"/>
          <w:lang w:eastAsia="en-US"/>
        </w:rPr>
        <w:t xml:space="preserve"> The reality is that this matter should not have ended up before court and should have been properly mediated and the necessary agreements reached. Even in closing remarks Mr Mengo on behalf of the Applicant states as much when he says that had it not been for the actions of Respondent in the first place the matter will not have ended before court. I cannot agree more.</w:t>
      </w:r>
    </w:p>
    <w:p w14:paraId="54631BF9" w14:textId="502CEF58" w:rsidR="00685636" w:rsidRDefault="002F4A85"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[16] </w:t>
      </w:r>
      <w:r w:rsidR="00657D59">
        <w:rPr>
          <w:rFonts w:asciiTheme="minorHAnsi" w:eastAsiaTheme="minorHAnsi" w:hAnsiTheme="minorHAnsi" w:cstheme="minorHAnsi"/>
          <w:lang w:eastAsia="en-US"/>
        </w:rPr>
        <w:t>I take notice of the fact that the founding and supporting affidavits to the application were not served upon Respondents’ attorney</w:t>
      </w:r>
      <w:r w:rsidR="005177A2">
        <w:rPr>
          <w:rFonts w:asciiTheme="minorHAnsi" w:eastAsiaTheme="minorHAnsi" w:hAnsiTheme="minorHAnsi" w:cstheme="minorHAnsi"/>
          <w:lang w:eastAsia="en-US"/>
        </w:rPr>
        <w:t>,</w:t>
      </w:r>
      <w:r w:rsidR="00657D59">
        <w:rPr>
          <w:rFonts w:asciiTheme="minorHAnsi" w:eastAsiaTheme="minorHAnsi" w:hAnsiTheme="minorHAnsi" w:cstheme="minorHAnsi"/>
          <w:lang w:eastAsia="en-US"/>
        </w:rPr>
        <w:t xml:space="preserve"> Mr Krawitz, initially and as such prevented the Respondent, essentially, to file properly crafted opposing papers. I will not dwell on the reasons for same as these are immaterial to the matter at hand. The court has the discretion </w:t>
      </w:r>
      <w:r w:rsidR="00657D59">
        <w:rPr>
          <w:rFonts w:asciiTheme="minorHAnsi" w:eastAsiaTheme="minorHAnsi" w:hAnsiTheme="minorHAnsi" w:cstheme="minorHAnsi"/>
          <w:lang w:eastAsia="en-US"/>
        </w:rPr>
        <w:lastRenderedPageBreak/>
        <w:t>to allow a matter to proceed on such terms as it may direct. The Respondent was represented by different legal representatives between the inception of this matter and the 8</w:t>
      </w:r>
      <w:r w:rsidR="00657D59" w:rsidRPr="00657D59">
        <w:rPr>
          <w:rFonts w:asciiTheme="minorHAnsi" w:eastAsiaTheme="minorHAnsi" w:hAnsiTheme="minorHAnsi" w:cstheme="minorHAnsi"/>
          <w:vertAlign w:val="superscript"/>
          <w:lang w:eastAsia="en-US"/>
        </w:rPr>
        <w:t>th</w:t>
      </w:r>
      <w:r w:rsidR="00657D59">
        <w:rPr>
          <w:rFonts w:asciiTheme="minorHAnsi" w:eastAsiaTheme="minorHAnsi" w:hAnsiTheme="minorHAnsi" w:cstheme="minorHAnsi"/>
          <w:lang w:eastAsia="en-US"/>
        </w:rPr>
        <w:t xml:space="preserve"> January 2026 it will appear. Regardless thereof, the matter was postponed which allowed for ample time to prepare and file opposing papers. </w:t>
      </w:r>
      <w:r w:rsidR="00685636">
        <w:rPr>
          <w:rFonts w:asciiTheme="minorHAnsi" w:eastAsiaTheme="minorHAnsi" w:hAnsiTheme="minorHAnsi" w:cstheme="minorHAnsi"/>
          <w:lang w:eastAsia="en-US"/>
        </w:rPr>
        <w:t>This court is not amused at the late filing of papers in this matter. The supplementary affidavits filed required Respondent to also augment his opposing papers in turn at the last hour so to speak. Although the court indulged the Applicant’s attorney in having the replying papers filed no later than 9:00 on the day of the hearing, this was also not complied with. Regardless thereof, the papers were filed and arguments were duly presented. I am not persuaded to dismiss the application on this ground as contended by the Respondent’ attorney.</w:t>
      </w:r>
    </w:p>
    <w:p w14:paraId="0ADF198C" w14:textId="77777777" w:rsidR="006261D1" w:rsidRDefault="00685636"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[17] Respondent claims that this court does not have jurisdiction to entertain this matter. He states that he has been residing in Johannesburg since January 2025 and prior to that he resided in Cape Town for about ten (10) years. He further avers that Applicant has been residing at Cape Town her entire life. This is not contested and is in fact confirmed by the facts raised by the Applicant. Although Applicant claimed that both her and the Respondent’s homes are within the jurisdiction of this court, it is clear that she does not have any family or home in this area. Had that been true, Applicant will have pleaded same specifically, which she did not. In amplification thereof, her mother and son of ten years also reside at Cape Town. </w:t>
      </w:r>
      <w:r w:rsidR="006261D1">
        <w:rPr>
          <w:rFonts w:asciiTheme="minorHAnsi" w:eastAsiaTheme="minorHAnsi" w:hAnsiTheme="minorHAnsi" w:cstheme="minorHAnsi"/>
          <w:lang w:eastAsia="en-US"/>
        </w:rPr>
        <w:t>Further to that, She had to rely on a friend or acquaintance to assist her in having contact with the children after she had to leave the home of Respondent’s parents. If her initial contention was true, one will expect a family member to assist more especially where reservations regarding the identity and further details of the alternate person, Zomzi, are levelled – the safety of the children being of paramount importance.</w:t>
      </w:r>
    </w:p>
    <w:p w14:paraId="1A2C0BB1" w14:textId="77777777" w:rsidR="00615DC9" w:rsidRDefault="006261D1"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lastRenderedPageBreak/>
        <w:t xml:space="preserve">[18] Paragraph 11.1 of Respondent’s answering affidavit stands at odds with paragraph 8 </w:t>
      </w:r>
      <w:r w:rsidR="00615DC9">
        <w:rPr>
          <w:rFonts w:asciiTheme="minorHAnsi" w:eastAsiaTheme="minorHAnsi" w:hAnsiTheme="minorHAnsi" w:cstheme="minorHAnsi"/>
          <w:lang w:eastAsia="en-US"/>
        </w:rPr>
        <w:t xml:space="preserve">and 19.1 of the said affidavit, </w:t>
      </w:r>
      <w:r>
        <w:rPr>
          <w:rFonts w:asciiTheme="minorHAnsi" w:eastAsiaTheme="minorHAnsi" w:hAnsiTheme="minorHAnsi" w:cstheme="minorHAnsi"/>
          <w:lang w:eastAsia="en-US"/>
        </w:rPr>
        <w:t xml:space="preserve">as well as the rest of the evidence before this court. I believe this to have been an oversight. Regardless thereof, the fact remains that neither party are residing within the jurisdiction of this court. That much is clear and the Applicant’s reference to the contrary must be rejected. The children are in the temporary care of Respondent’s parents at Mthatha and there is no evidence to controvert this assertion. Respondent avers that he has never deprived Applicant </w:t>
      </w:r>
      <w:r w:rsidR="00615DC9">
        <w:rPr>
          <w:rFonts w:asciiTheme="minorHAnsi" w:eastAsiaTheme="minorHAnsi" w:hAnsiTheme="minorHAnsi" w:cstheme="minorHAnsi"/>
          <w:lang w:eastAsia="en-US"/>
        </w:rPr>
        <w:t>of her rights to contact with the children. This is common cause between the parties and clear from the evidence before this court. The children have been residing with and were in the care of Respondent since January 2025. This is not disputed, save for the Applicant’s contention that the children were permanently relocated to Mthatha and in the custody of Respondent’s parents. The children are said to be permanently resident in Johannesburg.</w:t>
      </w:r>
    </w:p>
    <w:p w14:paraId="69253CCB" w14:textId="77777777" w:rsidR="00CD3C9B" w:rsidRDefault="00615DC9"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[19] Respondent refers to Applicant suffering from a mental disorder. This was clarified in that a report from a psychologist was submitted together with the replying papers indicating depression and anxiety. None of these are disqualifying a parent from holding parental rights and responsibilities and in particular then permanent residence or custody of the children unless it is shown that the children will be exposed to danger, neglect and therefore not in their best interests as a whole. The Applicant’s struggle to relate to the children and to form an attachment with them, initially at least, becomes clear from all the evidence before this court. </w:t>
      </w:r>
      <w:r w:rsidR="00CD3C9B">
        <w:rPr>
          <w:rFonts w:asciiTheme="minorHAnsi" w:eastAsiaTheme="minorHAnsi" w:hAnsiTheme="minorHAnsi" w:cstheme="minorHAnsi"/>
          <w:lang w:eastAsia="en-US"/>
        </w:rPr>
        <w:t xml:space="preserve">It is probable that this may have changed, but there is simply no evidence in favour or against it. The psychologist is of the view that contact with the children will in all probability ease the depressive mood and anxiety Applicant experiences. There are allegations of alcohol abuse from both sides, without any evidence to substantiate </w:t>
      </w:r>
      <w:r w:rsidR="00CD3C9B">
        <w:rPr>
          <w:rFonts w:asciiTheme="minorHAnsi" w:eastAsiaTheme="minorHAnsi" w:hAnsiTheme="minorHAnsi" w:cstheme="minorHAnsi"/>
          <w:lang w:eastAsia="en-US"/>
        </w:rPr>
        <w:lastRenderedPageBreak/>
        <w:t>these claims. I have to find the contention that the parties agreed to the name of Respondent being taken by the children while in her sound and sober senses to be far more probable and credible than what Applicant asserted in her papers.</w:t>
      </w:r>
      <w:r>
        <w:rPr>
          <w:rFonts w:asciiTheme="minorHAnsi" w:eastAsiaTheme="minorHAnsi" w:hAnsiTheme="minorHAnsi" w:cstheme="minorHAnsi"/>
          <w:lang w:eastAsia="en-US"/>
        </w:rPr>
        <w:t xml:space="preserve"> </w:t>
      </w:r>
      <w:r w:rsidR="00CD3C9B">
        <w:rPr>
          <w:rFonts w:asciiTheme="minorHAnsi" w:eastAsiaTheme="minorHAnsi" w:hAnsiTheme="minorHAnsi" w:cstheme="minorHAnsi"/>
          <w:lang w:eastAsia="en-US"/>
        </w:rPr>
        <w:t>It is more plausible that such decision was taken before the birth of the children. The parties were living together at the time.</w:t>
      </w:r>
    </w:p>
    <w:p w14:paraId="60767A8A" w14:textId="6EB252E8" w:rsidR="00FA7B79" w:rsidRDefault="00CD3C9B"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[20] It matters not what the reasons were for the decision, but the fact remains that the children were in the custody and care of the Respondent since January 2025. There is no evidence to even suggest that the children were not taken care of, neglected, abused or that their interests were not best catered for during such time. The children were in Respondent’s care by agreement and with the consent of Applicant, contrary to what Applicant sought to convince this court of. </w:t>
      </w:r>
      <w:r w:rsidR="00486437">
        <w:rPr>
          <w:rFonts w:asciiTheme="minorHAnsi" w:eastAsiaTheme="minorHAnsi" w:hAnsiTheme="minorHAnsi" w:cstheme="minorHAnsi"/>
          <w:lang w:eastAsia="en-US"/>
        </w:rPr>
        <w:t>Even in Cape Town a nanny was required to take care of the children due to their fragile age and the fact that both parents were professionally employed. This did not change when the children relocated to Johannesburg and taking up permanent residence with Respondent. The nanny was also relocated and assisted Respondent. It is not for this court to determine the ground(s) for the nanny absconding. That she did is a reality and Respondent found himself in a temporary predicament. I refer to temporary as notwithstanding any other allegation, there is simply no proof of any kind to counter this assertion. It is not contested that Respondent took unpaid leave for some days due to the absence of the nanny. He decided to bring the children to Mthatha as a temporary arrangement in order to allow him to employ another nanny. This stands uncontroverted before this court.</w:t>
      </w:r>
    </w:p>
    <w:p w14:paraId="50D34028" w14:textId="0F14031C" w:rsidR="00486437" w:rsidRDefault="00486437"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[21] The communication between the parties upon Respondent leaving for Mthatha with the children confirms the Respondent’s version that the temporary move was executed with </w:t>
      </w:r>
      <w:r>
        <w:rPr>
          <w:rFonts w:asciiTheme="minorHAnsi" w:eastAsiaTheme="minorHAnsi" w:hAnsiTheme="minorHAnsi" w:cstheme="minorHAnsi"/>
          <w:lang w:eastAsia="en-US"/>
        </w:rPr>
        <w:lastRenderedPageBreak/>
        <w:t xml:space="preserve">her consent, and in the very least with her knowledge and without any objection. Respondent did not prevent Applicant from having contact with the children, as </w:t>
      </w:r>
      <w:r w:rsidR="00064B4D">
        <w:rPr>
          <w:rFonts w:asciiTheme="minorHAnsi" w:eastAsiaTheme="minorHAnsi" w:hAnsiTheme="minorHAnsi" w:cstheme="minorHAnsi"/>
          <w:lang w:eastAsia="en-US"/>
        </w:rPr>
        <w:t>already referred to elsewhere in this judgment. Applicant would reside at his home for a week at a time. This is not disputed. The Respondent’s contention that the children would be in the care of his parents from October to December 2025 has not been disproven. It is also very probable and reasonable under the circumstances. There would ordinarily not be any reason to find to the contrary due to the fact that the Respondent is employed in Johannesburg and it will not make sense to then travel to Mthatha to take the children back to Johannesburg only to return to Mthatha with the children during December. The version of the Respondent presents to be plausible. Further to the above, it is not disputed that Applicant was visiting Mthatha at the invitation of Respondent and his family. This is confirmed in the hospitality shown to Applicant in allowing her and her ten year old son from a previous relationship to reside at their home and inside the house with the family.</w:t>
      </w:r>
    </w:p>
    <w:p w14:paraId="24ABB1FB" w14:textId="77777777" w:rsidR="0041248F" w:rsidRDefault="00064B4D"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[22] The older child was even allowed to remain there on the evening that Applicant had to vacate the property. She fetched her son the next day when she again attempted to remove the children relevant to this application but was denied access to them. </w:t>
      </w:r>
      <w:r w:rsidR="009D6011">
        <w:rPr>
          <w:rFonts w:asciiTheme="minorHAnsi" w:eastAsiaTheme="minorHAnsi" w:hAnsiTheme="minorHAnsi" w:cstheme="minorHAnsi"/>
          <w:lang w:eastAsia="en-US"/>
        </w:rPr>
        <w:t xml:space="preserve">It is abundantly clear that there was absolutely no communication between the parties that the children will take up permanent residence with the Applicant at Cape Town. Respondent avers that Applicant is not stable and not able to relate to the children. This is an issue best left to be resolved by relevant experts in their field, should this issue be further pursued. The same applies to the allegations that Applicant is not a fit and proper parent. Both parties were before court and purely on my observation of both of them as well as limited interaction with them, I cannot conclude on any of these issues levelled against each other without </w:t>
      </w:r>
      <w:r w:rsidR="009D6011">
        <w:rPr>
          <w:rFonts w:asciiTheme="minorHAnsi" w:eastAsiaTheme="minorHAnsi" w:hAnsiTheme="minorHAnsi" w:cstheme="minorHAnsi"/>
          <w:lang w:eastAsia="en-US"/>
        </w:rPr>
        <w:lastRenderedPageBreak/>
        <w:t>proper evaluations and reports, including that of the two minor children who are two years and three months old at present. Both parties present well and dignified and it is clear that this ordeal is taking its toll on both of them. The court must avoid being persuaded by emotions as the best interests of children are at stake</w:t>
      </w:r>
      <w:r w:rsidR="0041248F">
        <w:rPr>
          <w:rFonts w:asciiTheme="minorHAnsi" w:eastAsiaTheme="minorHAnsi" w:hAnsiTheme="minorHAnsi" w:cstheme="minorHAnsi"/>
          <w:lang w:eastAsia="en-US"/>
        </w:rPr>
        <w:t xml:space="preserve"> and coupled with that the rights and responsibilities of parents.</w:t>
      </w:r>
    </w:p>
    <w:p w14:paraId="10A32FA5" w14:textId="77777777" w:rsidR="00CB4A56" w:rsidRDefault="0041248F"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[23]</w:t>
      </w:r>
      <w:r w:rsidR="009D6011">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 xml:space="preserve">If indeed the children were permanently relocated to Mthatha could not be proven in all that were presented before this court. The application was found on raw emotion and anger and as such perhaps sought prematurely and without evidence to substantiate such claims. Again, I frown upon the Respondent’s conduct in refusing Applicant and his cousin, one Khazee, to communicate “because she was attempting to obtain contact through Khazee”. This cannot and will not be tolerated by our courts without valid substantiated and compelling reasons to interfere. A parent clothed with permanent residence of the children shall not unreasonably withhold the other parent from contact with the children. Conversely, the right of the children to access to the other parent shall not be infringed unduly. It is critical in a child’s development to have </w:t>
      </w:r>
      <w:r w:rsidR="00CB4A56">
        <w:rPr>
          <w:rFonts w:asciiTheme="minorHAnsi" w:eastAsiaTheme="minorHAnsi" w:hAnsiTheme="minorHAnsi" w:cstheme="minorHAnsi"/>
          <w:lang w:eastAsia="en-US"/>
        </w:rPr>
        <w:t>contact and interaction with both parents. Respondent equally so avers that he does not have any objection in the children having contact with the Applicant’s elder child. This is also important as family connections on either side must be nurtured and built upon.</w:t>
      </w:r>
    </w:p>
    <w:p w14:paraId="579BEBFE" w14:textId="77777777" w:rsidR="00452D41" w:rsidRDefault="00CB4A56" w:rsidP="00D755EF">
      <w:pPr>
        <w:spacing w:after="200" w:line="480"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[24] Respondent states that he had secured the services of a new nanny. This stands uncontroverted and in the absence of anything to the contrary I have to accept same to be reasonably true. Since the regrettable incident of 14 December 2025 and after the court issued interim relief Applicant was allowed to have access to the children and she would come to fetch them and return them afterwards. Respondent states that he has no plans of </w:t>
      </w:r>
      <w:r>
        <w:rPr>
          <w:rFonts w:asciiTheme="minorHAnsi" w:eastAsiaTheme="minorHAnsi" w:hAnsiTheme="minorHAnsi" w:cstheme="minorHAnsi"/>
          <w:lang w:eastAsia="en-US"/>
        </w:rPr>
        <w:lastRenderedPageBreak/>
        <w:t>relocating outside of South Africa nor to remove the children from the republic. It must be borne in mind that although Respondent had the children in his custody and care, there are legal limitations as far as certain decisions are concerned, one of those being the removal of a child from the republic without the consent of both parents or legal guardian of the children. I cannot fault the assertion by Respondent that Applicant has not “lost” the children</w:t>
      </w:r>
      <w:r w:rsidR="00452D41">
        <w:rPr>
          <w:rFonts w:asciiTheme="minorHAnsi" w:eastAsiaTheme="minorHAnsi" w:hAnsiTheme="minorHAnsi" w:cstheme="minorHAnsi"/>
          <w:lang w:eastAsia="en-US"/>
        </w:rPr>
        <w:t>. There is no reason to believe that she stands to “lose” them without more either. Respondent claims that it is in the best interests of the children that he retains primary care and residence of the children. It must be understood that if the relocation of the children was temporary, of which there is nothing to counter such notion, the Respondent was factually barred from returning the children to Johannesburg due to the interim order of court. Respondent states that his parents are elderly and cannot take upon themselves the responsibility of residence and care of the children on a permanent basis. There is nothing to counter this argument either.</w:t>
      </w:r>
    </w:p>
    <w:p w14:paraId="62DF7912" w14:textId="77777777" w:rsidR="00100E5B" w:rsidRDefault="00452D41" w:rsidP="00D755EF">
      <w:pPr>
        <w:spacing w:after="200" w:line="480" w:lineRule="auto"/>
        <w:jc w:val="both"/>
        <w:rPr>
          <w:rFonts w:asciiTheme="minorHAnsi" w:eastAsiaTheme="minorHAnsi" w:hAnsiTheme="minorHAnsi" w:cstheme="minorHAnsi"/>
          <w:bCs/>
          <w:lang w:eastAsia="en-US"/>
        </w:rPr>
      </w:pPr>
      <w:r>
        <w:rPr>
          <w:rFonts w:asciiTheme="minorHAnsi" w:eastAsiaTheme="minorHAnsi" w:hAnsiTheme="minorHAnsi" w:cstheme="minorHAnsi"/>
          <w:lang w:eastAsia="en-US"/>
        </w:rPr>
        <w:t xml:space="preserve">[25] Respondent contends that the application has no basis as the Applicant did not act with the requisite </w:t>
      </w:r>
      <w:r w:rsidRPr="00452D41">
        <w:rPr>
          <w:rFonts w:asciiTheme="minorHAnsi" w:eastAsiaTheme="minorHAnsi" w:hAnsiTheme="minorHAnsi" w:cstheme="minorHAnsi"/>
          <w:i/>
          <w:iCs/>
          <w:lang w:eastAsia="en-US"/>
        </w:rPr>
        <w:t>uberrima fides</w:t>
      </w:r>
      <w:r>
        <w:rPr>
          <w:rFonts w:asciiTheme="minorHAnsi" w:eastAsiaTheme="minorHAnsi" w:hAnsiTheme="minorHAnsi" w:cstheme="minorHAnsi"/>
          <w:lang w:eastAsia="en-US"/>
        </w:rPr>
        <w:t xml:space="preserve">, utmost good faith, and confidence in the court. It is further held that Applicant has abused the due process of the law and the court. He denies any contribution from Applicant in respect of the children or the nanny. In fact, so it is contended, </w:t>
      </w:r>
      <w:r w:rsidR="003E2147">
        <w:rPr>
          <w:rFonts w:asciiTheme="minorHAnsi" w:eastAsiaTheme="minorHAnsi" w:hAnsiTheme="minorHAnsi" w:cstheme="minorHAnsi"/>
          <w:lang w:eastAsia="en-US"/>
        </w:rPr>
        <w:t>Applicant was concerned about her ability to take care of the children financially which further underscored the mutual agreement of their relocation to Johannesburg and taking up permanent residence with him. He held that they agreed this arrangement was in the best interests of the children.</w:t>
      </w:r>
      <w:r w:rsidR="00CB4A56">
        <w:rPr>
          <w:rFonts w:asciiTheme="minorHAnsi" w:eastAsiaTheme="minorHAnsi" w:hAnsiTheme="minorHAnsi" w:cstheme="minorHAnsi"/>
          <w:lang w:eastAsia="en-US"/>
        </w:rPr>
        <w:t xml:space="preserve"> </w:t>
      </w:r>
      <w:r w:rsidR="00100E5B">
        <w:rPr>
          <w:rFonts w:asciiTheme="minorHAnsi" w:eastAsiaTheme="minorHAnsi" w:hAnsiTheme="minorHAnsi" w:cstheme="minorHAnsi"/>
          <w:lang w:eastAsia="en-US"/>
        </w:rPr>
        <w:t xml:space="preserve">I have dealt with this elsewhere in this judgment but need to provide clarity in that </w:t>
      </w:r>
      <w:r w:rsidR="00100E5B" w:rsidRPr="00B65466">
        <w:rPr>
          <w:rFonts w:asciiTheme="minorHAnsi" w:eastAsiaTheme="minorHAnsi" w:hAnsiTheme="minorHAnsi" w:cstheme="minorHAnsi"/>
          <w:bCs/>
          <w:lang w:eastAsia="en-US"/>
        </w:rPr>
        <w:t xml:space="preserve">Applicant states that Respondent failed to keep the nanny and that this is evidence of “that he </w:t>
      </w:r>
      <w:r w:rsidR="00100E5B" w:rsidRPr="00B65466">
        <w:rPr>
          <w:rFonts w:asciiTheme="minorHAnsi" w:eastAsiaTheme="minorHAnsi" w:hAnsiTheme="minorHAnsi" w:cstheme="minorHAnsi"/>
          <w:bCs/>
          <w:u w:val="single"/>
          <w:lang w:eastAsia="en-US"/>
        </w:rPr>
        <w:t>abdicated his duties</w:t>
      </w:r>
      <w:r w:rsidR="00100E5B" w:rsidRPr="00B65466">
        <w:rPr>
          <w:rFonts w:asciiTheme="minorHAnsi" w:eastAsiaTheme="minorHAnsi" w:hAnsiTheme="minorHAnsi" w:cstheme="minorHAnsi"/>
          <w:bCs/>
          <w:lang w:eastAsia="en-US"/>
        </w:rPr>
        <w:t xml:space="preserve"> and instead </w:t>
      </w:r>
      <w:r w:rsidR="00100E5B" w:rsidRPr="00B65466">
        <w:rPr>
          <w:rFonts w:asciiTheme="minorHAnsi" w:eastAsiaTheme="minorHAnsi" w:hAnsiTheme="minorHAnsi" w:cstheme="minorHAnsi"/>
          <w:bCs/>
          <w:u w:val="single"/>
          <w:lang w:eastAsia="en-US"/>
        </w:rPr>
        <w:t xml:space="preserve">chose his parents and siblings </w:t>
      </w:r>
      <w:r w:rsidR="00100E5B" w:rsidRPr="00B65466">
        <w:rPr>
          <w:rFonts w:asciiTheme="minorHAnsi" w:eastAsiaTheme="minorHAnsi" w:hAnsiTheme="minorHAnsi" w:cstheme="minorHAnsi"/>
          <w:bCs/>
          <w:u w:val="single"/>
          <w:lang w:eastAsia="en-US"/>
        </w:rPr>
        <w:lastRenderedPageBreak/>
        <w:t>over me</w:t>
      </w:r>
      <w:r w:rsidR="00100E5B" w:rsidRPr="00B65466">
        <w:rPr>
          <w:rFonts w:asciiTheme="minorHAnsi" w:eastAsiaTheme="minorHAnsi" w:hAnsiTheme="minorHAnsi" w:cstheme="minorHAnsi"/>
          <w:bCs/>
          <w:lang w:eastAsia="en-US"/>
        </w:rPr>
        <w:t>…biological mother of the children”.</w:t>
      </w:r>
      <w:r w:rsidR="00100E5B">
        <w:rPr>
          <w:rFonts w:asciiTheme="minorHAnsi" w:eastAsiaTheme="minorHAnsi" w:hAnsiTheme="minorHAnsi" w:cstheme="minorHAnsi"/>
          <w:bCs/>
          <w:lang w:eastAsia="en-US"/>
        </w:rPr>
        <w:t xml:space="preserve"> This is not substantiated by any facts presented before this court at all. It is farcical to suggest that a parent taking steps to secure the best interests of his or her children by temporary relocation and entrusting them to responsible adults should be castigated for abdicating his or her duties and/or choosing the alternative adults above the other parent. If the children were to visit their grandparents for an extended period of time, such will then have to be visited with the same disdain. Such an argument being sustained will be unfair and untenable.</w:t>
      </w:r>
    </w:p>
    <w:p w14:paraId="020D993C" w14:textId="77777777" w:rsidR="0036678D" w:rsidRDefault="00100E5B" w:rsidP="00D755EF">
      <w:pPr>
        <w:spacing w:after="200" w:line="480" w:lineRule="auto"/>
        <w:jc w:val="both"/>
        <w:rPr>
          <w:rFonts w:asciiTheme="minorHAnsi" w:eastAsiaTheme="minorHAnsi" w:hAnsiTheme="minorHAnsi" w:cstheme="minorHAnsi"/>
          <w:bCs/>
          <w:lang w:eastAsia="en-US"/>
        </w:rPr>
      </w:pPr>
      <w:r>
        <w:rPr>
          <w:rFonts w:asciiTheme="minorHAnsi" w:eastAsiaTheme="minorHAnsi" w:hAnsiTheme="minorHAnsi" w:cstheme="minorHAnsi"/>
          <w:bCs/>
          <w:lang w:eastAsia="en-US"/>
        </w:rPr>
        <w:t>[26] The home of Respondent is well-described and most certainly cannot be said not to cater for the best interests of the children</w:t>
      </w:r>
      <w:r w:rsidR="00262567">
        <w:rPr>
          <w:rFonts w:asciiTheme="minorHAnsi" w:eastAsiaTheme="minorHAnsi" w:hAnsiTheme="minorHAnsi" w:cstheme="minorHAnsi"/>
          <w:bCs/>
          <w:lang w:eastAsia="en-US"/>
        </w:rPr>
        <w:t xml:space="preserve"> for them to be uprooted without just cause. This aspect is not disputed. The fact that Respondent is receiving a stable and “good” income is equally not contested. There is no allegation substantiated by any evidence that the children are lacking in anything and that they are in need of care and protection, other than what the Respondent is providing and has provided to date. There is documentary proof of the Applicant complimenting Respondent regarding the care of the children. There is no evidence to suggest that this has changed at all. I will not venture to comment on whether a squatter camp is not suited for the upbringing of a child. It was correctly argued by Mr Mengo that living in  a squatter camp or being poor is not a crime. It is also no reason for a parent to be divested in his or her rights to custody and care of minor children unless there are substantiating reasons to conclude that the children are neglected or abused or for any of the reasons mentioned in CA in need of care and protection. The question remains, though, given all the circumstances whether it will be in the best interests of these children to be removed from their permanent residence with one parent and be relocated to the permanent residence of the other </w:t>
      </w:r>
      <w:r w:rsidR="0036678D">
        <w:rPr>
          <w:rFonts w:asciiTheme="minorHAnsi" w:eastAsiaTheme="minorHAnsi" w:hAnsiTheme="minorHAnsi" w:cstheme="minorHAnsi"/>
          <w:bCs/>
          <w:lang w:eastAsia="en-US"/>
        </w:rPr>
        <w:t>without any just cause.</w:t>
      </w:r>
    </w:p>
    <w:p w14:paraId="74B9A714" w14:textId="229CE644" w:rsidR="00CB4A56" w:rsidRDefault="0036678D" w:rsidP="00D755EF">
      <w:pPr>
        <w:spacing w:after="200" w:line="480" w:lineRule="auto"/>
        <w:jc w:val="both"/>
        <w:rPr>
          <w:rFonts w:asciiTheme="minorHAnsi" w:eastAsiaTheme="minorHAnsi" w:hAnsiTheme="minorHAnsi" w:cstheme="minorHAnsi"/>
          <w:bCs/>
          <w:lang w:eastAsia="en-US"/>
        </w:rPr>
      </w:pPr>
      <w:r>
        <w:rPr>
          <w:rFonts w:asciiTheme="minorHAnsi" w:eastAsiaTheme="minorHAnsi" w:hAnsiTheme="minorHAnsi" w:cstheme="minorHAnsi"/>
          <w:bCs/>
          <w:lang w:eastAsia="en-US"/>
        </w:rPr>
        <w:lastRenderedPageBreak/>
        <w:t>[27] Respondent is committed to liberal rights of contact as per his assertion in his affidavit as well as in argument by Mr Krawitz. Mr Krawitz also detailed how his client will accommodate the Applicant as far as transport, accommodation and relevant thereto are concerned. In addition, according to Mr Krawitz, his client will occasionally travel to Cape Town as permitted by time and circumstances to further allow contact with the children. The details thereof are best left for the office of the Family Advocate to address and have such parenting plan properly crafted and registered so as to attract the requisite consequences in failure to comply</w:t>
      </w:r>
      <w:r w:rsidR="005126A1">
        <w:rPr>
          <w:rStyle w:val="FootnoteReference"/>
          <w:rFonts w:asciiTheme="minorHAnsi" w:eastAsiaTheme="minorHAnsi" w:hAnsiTheme="minorHAnsi" w:cstheme="minorHAnsi"/>
          <w:bCs/>
          <w:lang w:eastAsia="en-US"/>
        </w:rPr>
        <w:footnoteReference w:id="16"/>
      </w:r>
      <w:r>
        <w:rPr>
          <w:rFonts w:asciiTheme="minorHAnsi" w:eastAsiaTheme="minorHAnsi" w:hAnsiTheme="minorHAnsi" w:cstheme="minorHAnsi"/>
          <w:bCs/>
          <w:lang w:eastAsia="en-US"/>
        </w:rPr>
        <w:t xml:space="preserve">. It will be in both parties’ interest as well as that of the children to cooperate and have this attended to. Applicant in her reply avers that </w:t>
      </w:r>
      <w:r w:rsidR="00D710A7">
        <w:rPr>
          <w:rFonts w:asciiTheme="minorHAnsi" w:eastAsiaTheme="minorHAnsi" w:hAnsiTheme="minorHAnsi" w:cstheme="minorHAnsi"/>
          <w:bCs/>
          <w:lang w:eastAsia="en-US"/>
        </w:rPr>
        <w:t>the children “belong to me as their biological mother…not to him nor his family in terms of our customary law as well as the CA”. This is a rather disingenuous statement in the circumstances. There is no attempt at proving the substance hereof except this utterly bare statement. The provisions of S.21 of CA are clearly not appreciated or are conveniently ignored or misinterpreted by Applicant or her legal representative.</w:t>
      </w:r>
    </w:p>
    <w:p w14:paraId="22B8EE65" w14:textId="6D38AC86" w:rsidR="00D710A7" w:rsidRDefault="00D710A7" w:rsidP="00D755EF">
      <w:pPr>
        <w:spacing w:after="200" w:line="480" w:lineRule="auto"/>
        <w:jc w:val="both"/>
        <w:rPr>
          <w:rFonts w:asciiTheme="minorHAnsi" w:eastAsiaTheme="minorHAnsi" w:hAnsiTheme="minorHAnsi" w:cstheme="minorHAnsi"/>
          <w:bCs/>
          <w:lang w:eastAsia="en-US"/>
        </w:rPr>
      </w:pPr>
      <w:r>
        <w:rPr>
          <w:rFonts w:asciiTheme="minorHAnsi" w:eastAsiaTheme="minorHAnsi" w:hAnsiTheme="minorHAnsi" w:cstheme="minorHAnsi"/>
          <w:bCs/>
          <w:lang w:eastAsia="en-US"/>
        </w:rPr>
        <w:t>[28] Applicant attempts to persuade this court that the Respondent chose the address at Mthatha as his home. This is completely devoid of truth. The facts before court do not sustain this. Applicant visited her children at Respondent’s residence in Johannesburg. That he resided with the children in Johannesburg from January 2025 is not disputed. It will appear that the issue of residence and a chosen domicile for purposes of a contract are confused or being ignored. This is held out to be proof of Respondent’s dishonesty, which I simply cannot agree with</w:t>
      </w:r>
      <w:r w:rsidR="0031694A">
        <w:rPr>
          <w:rFonts w:asciiTheme="minorHAnsi" w:eastAsiaTheme="minorHAnsi" w:hAnsiTheme="minorHAnsi" w:cstheme="minorHAnsi"/>
          <w:bCs/>
          <w:lang w:eastAsia="en-US"/>
        </w:rPr>
        <w:t>. Except for the events that flowed from the 14</w:t>
      </w:r>
      <w:r w:rsidR="0031694A" w:rsidRPr="0031694A">
        <w:rPr>
          <w:rFonts w:asciiTheme="minorHAnsi" w:eastAsiaTheme="minorHAnsi" w:hAnsiTheme="minorHAnsi" w:cstheme="minorHAnsi"/>
          <w:bCs/>
          <w:vertAlign w:val="superscript"/>
          <w:lang w:eastAsia="en-US"/>
        </w:rPr>
        <w:t>th</w:t>
      </w:r>
      <w:r w:rsidR="0031694A">
        <w:rPr>
          <w:rFonts w:asciiTheme="minorHAnsi" w:eastAsiaTheme="minorHAnsi" w:hAnsiTheme="minorHAnsi" w:cstheme="minorHAnsi"/>
          <w:bCs/>
          <w:lang w:eastAsia="en-US"/>
        </w:rPr>
        <w:t xml:space="preserve"> December 2025, it is not true that Respondent denied Applicant access to her children. This in turn caused </w:t>
      </w:r>
      <w:r w:rsidR="0031694A">
        <w:rPr>
          <w:rFonts w:asciiTheme="minorHAnsi" w:eastAsiaTheme="minorHAnsi" w:hAnsiTheme="minorHAnsi" w:cstheme="minorHAnsi"/>
          <w:bCs/>
          <w:lang w:eastAsia="en-US"/>
        </w:rPr>
        <w:lastRenderedPageBreak/>
        <w:t>Applicant to bring this application based on less than the required utmost truth. The factual reality is that the Respondent has been the primary care-giver and that the children had resided with him permanently since January 2025. The arrangement that the children will temporarily reside with his parents at Mthatha does not change the de facto position. It was Respondent who communicated with his family and gave instructions regarding the children, albeit to the disapproval of this court as far as his decisions are concerned. This must be viewed against the backdrop of securing the safety of the children as well as the events that brought the parties to that point. I will be remiss if I do not consider the whole and instead focus piece-meal on fragmented incidents.</w:t>
      </w:r>
    </w:p>
    <w:p w14:paraId="4E187A22" w14:textId="05AB765D" w:rsidR="00514EE7" w:rsidRDefault="0031694A" w:rsidP="00D755EF">
      <w:pPr>
        <w:spacing w:after="200" w:line="480" w:lineRule="auto"/>
        <w:jc w:val="both"/>
        <w:rPr>
          <w:rFonts w:asciiTheme="minorHAnsi" w:eastAsiaTheme="minorHAnsi" w:hAnsiTheme="minorHAnsi" w:cstheme="minorHAnsi"/>
          <w:bCs/>
          <w:lang w:eastAsia="en-US"/>
        </w:rPr>
      </w:pPr>
      <w:r>
        <w:rPr>
          <w:rFonts w:asciiTheme="minorHAnsi" w:eastAsiaTheme="minorHAnsi" w:hAnsiTheme="minorHAnsi" w:cstheme="minorHAnsi"/>
          <w:bCs/>
          <w:lang w:eastAsia="en-US"/>
        </w:rPr>
        <w:t>[29] It may be true that at the time of launching this application the children were factually at the address so stated. However, it was false to state that they were “ordinarily residing</w:t>
      </w:r>
      <w:r w:rsidR="00514EE7">
        <w:rPr>
          <w:rFonts w:asciiTheme="minorHAnsi" w:eastAsiaTheme="minorHAnsi" w:hAnsiTheme="minorHAnsi" w:cstheme="minorHAnsi"/>
          <w:bCs/>
          <w:lang w:eastAsia="en-US"/>
        </w:rPr>
        <w:t xml:space="preserve">” at such address. This was done to establish jurisdiction for sake of convenience and done prematurely as I already alluded to in this judgment. The alleged statements by relatives of the Respondent, if uttered at all, are quoted out of context. It is clear from Applicant’s own version that her intent was to remove the children permanently from the care of Respondent and relocate them to Cape Town. It will then explain why the relatives, cited as Respondents herein may have held the view that they will not allow the children to go with Applicant anywhere. Such apprehension should be easy to comprehend. This in itself does not for a moment indicate that Applicant’s rights to access will be infringed. However, Respondent’s actions and that of his relatives most certainly contributed to this application. Applicant perhaps may have engaged the services of a registered social worker or family planning clinic prior to attempting to unilaterally remove the children from the care and custody of the Respondent. </w:t>
      </w:r>
      <w:r w:rsidR="005126A1">
        <w:rPr>
          <w:rFonts w:asciiTheme="minorHAnsi" w:eastAsiaTheme="minorHAnsi" w:hAnsiTheme="minorHAnsi" w:cstheme="minorHAnsi"/>
          <w:bCs/>
          <w:lang w:eastAsia="en-US"/>
        </w:rPr>
        <w:t xml:space="preserve">The matter may very well have been subjected to a family group </w:t>
      </w:r>
      <w:r w:rsidR="005126A1">
        <w:rPr>
          <w:rFonts w:asciiTheme="minorHAnsi" w:eastAsiaTheme="minorHAnsi" w:hAnsiTheme="minorHAnsi" w:cstheme="minorHAnsi"/>
          <w:bCs/>
          <w:lang w:eastAsia="en-US"/>
        </w:rPr>
        <w:lastRenderedPageBreak/>
        <w:t>conference</w:t>
      </w:r>
      <w:r w:rsidR="005126A1">
        <w:rPr>
          <w:rStyle w:val="FootnoteReference"/>
          <w:rFonts w:asciiTheme="minorHAnsi" w:eastAsiaTheme="minorHAnsi" w:hAnsiTheme="minorHAnsi" w:cstheme="minorHAnsi"/>
          <w:bCs/>
          <w:lang w:eastAsia="en-US"/>
        </w:rPr>
        <w:footnoteReference w:id="17"/>
      </w:r>
      <w:r w:rsidR="005126A1">
        <w:rPr>
          <w:rFonts w:asciiTheme="minorHAnsi" w:eastAsiaTheme="minorHAnsi" w:hAnsiTheme="minorHAnsi" w:cstheme="minorHAnsi"/>
          <w:bCs/>
          <w:lang w:eastAsia="en-US"/>
        </w:rPr>
        <w:t xml:space="preserve"> where Traditional Leaders </w:t>
      </w:r>
      <w:r w:rsidR="005126A1" w:rsidRPr="005126A1">
        <w:rPr>
          <w:rFonts w:asciiTheme="minorHAnsi" w:eastAsiaTheme="minorHAnsi" w:hAnsiTheme="minorHAnsi" w:cstheme="minorHAnsi"/>
          <w:bCs/>
          <w:i/>
          <w:iCs/>
          <w:lang w:eastAsia="en-US"/>
        </w:rPr>
        <w:t>inter alia</w:t>
      </w:r>
      <w:r w:rsidR="005126A1">
        <w:rPr>
          <w:rFonts w:asciiTheme="minorHAnsi" w:eastAsiaTheme="minorHAnsi" w:hAnsiTheme="minorHAnsi" w:cstheme="minorHAnsi"/>
          <w:bCs/>
          <w:lang w:eastAsia="en-US"/>
        </w:rPr>
        <w:t xml:space="preserve"> are able to preside and mediate in such matters. Even the issue of customary law referred to by Applicant may have been ventilated and addressed. </w:t>
      </w:r>
      <w:r w:rsidR="00514EE7">
        <w:rPr>
          <w:rFonts w:asciiTheme="minorHAnsi" w:eastAsiaTheme="minorHAnsi" w:hAnsiTheme="minorHAnsi" w:cstheme="minorHAnsi"/>
          <w:bCs/>
          <w:lang w:eastAsia="en-US"/>
        </w:rPr>
        <w:t>Both parties displayed conduct that is unconscionable. Their motives are found in vengeance rather than the best interests of the children, with all due respect.</w:t>
      </w:r>
    </w:p>
    <w:p w14:paraId="7FFB8964" w14:textId="77777777" w:rsidR="000D274B" w:rsidRDefault="00514EE7" w:rsidP="00D755EF">
      <w:pPr>
        <w:spacing w:after="200" w:line="480" w:lineRule="auto"/>
        <w:jc w:val="both"/>
        <w:rPr>
          <w:rFonts w:asciiTheme="minorHAnsi" w:eastAsiaTheme="minorHAnsi" w:hAnsiTheme="minorHAnsi" w:cstheme="minorHAnsi"/>
          <w:bCs/>
          <w:lang w:eastAsia="en-US"/>
        </w:rPr>
      </w:pPr>
      <w:r>
        <w:rPr>
          <w:rFonts w:asciiTheme="minorHAnsi" w:eastAsiaTheme="minorHAnsi" w:hAnsiTheme="minorHAnsi" w:cstheme="minorHAnsi"/>
          <w:bCs/>
          <w:lang w:eastAsia="en-US"/>
        </w:rPr>
        <w:t xml:space="preserve">[30] </w:t>
      </w:r>
      <w:r w:rsidR="000D274B">
        <w:rPr>
          <w:rFonts w:asciiTheme="minorHAnsi" w:eastAsiaTheme="minorHAnsi" w:hAnsiTheme="minorHAnsi" w:cstheme="minorHAnsi"/>
          <w:bCs/>
          <w:lang w:eastAsia="en-US"/>
        </w:rPr>
        <w:t xml:space="preserve">Applicant states that she went to Johannesburg early October 2025 and had to return to Cape Town on 12 October 2025. Before she left the Respondent told her that he was taking the children to Mthatha while he is looking for another nanny and also about the customary ritual to be performed during December 2025 at his home. This in itself destroys the credibility of her initial application and averments of the decision having been without her knowledge and unilateral. It further unequivocally underscores the fact that there was to be a ceremony at home, which involved the children as well. Respondent has indicated that he had to return to Johannesburg for purposes of his work towards the end of December 2025 but knew he had to return to Mthatha and therefore did not take the children with him. This in itself was not pleaded </w:t>
      </w:r>
      <w:r w:rsidR="000D274B" w:rsidRPr="000D274B">
        <w:rPr>
          <w:rFonts w:asciiTheme="minorHAnsi" w:eastAsiaTheme="minorHAnsi" w:hAnsiTheme="minorHAnsi" w:cstheme="minorHAnsi"/>
          <w:bCs/>
          <w:i/>
          <w:iCs/>
          <w:lang w:eastAsia="en-US"/>
        </w:rPr>
        <w:t>per se</w:t>
      </w:r>
      <w:r w:rsidR="000D274B">
        <w:rPr>
          <w:rFonts w:asciiTheme="minorHAnsi" w:eastAsiaTheme="minorHAnsi" w:hAnsiTheme="minorHAnsi" w:cstheme="minorHAnsi"/>
          <w:bCs/>
          <w:lang w:eastAsia="en-US"/>
        </w:rPr>
        <w:t xml:space="preserve"> and I do not attach much weight thereto. Suffice to state that even if he was going to take the children with him to Johannesburg upon his return, he was prevented from doing so due to the interim court order.</w:t>
      </w:r>
    </w:p>
    <w:p w14:paraId="1760FFE9" w14:textId="469EF318" w:rsidR="00E85AAA" w:rsidRDefault="000D274B" w:rsidP="00D755EF">
      <w:pPr>
        <w:spacing w:after="200" w:line="480" w:lineRule="auto"/>
        <w:jc w:val="both"/>
        <w:rPr>
          <w:rFonts w:asciiTheme="minorHAnsi" w:eastAsiaTheme="minorHAnsi" w:hAnsiTheme="minorHAnsi" w:cstheme="minorHAnsi"/>
          <w:bCs/>
          <w:lang w:eastAsia="en-US"/>
        </w:rPr>
      </w:pPr>
      <w:r>
        <w:rPr>
          <w:rFonts w:asciiTheme="minorHAnsi" w:eastAsiaTheme="minorHAnsi" w:hAnsiTheme="minorHAnsi" w:cstheme="minorHAnsi"/>
          <w:bCs/>
          <w:lang w:eastAsia="en-US"/>
        </w:rPr>
        <w:t xml:space="preserve">[31] </w:t>
      </w:r>
      <w:r w:rsidR="0031684E">
        <w:rPr>
          <w:rFonts w:asciiTheme="minorHAnsi" w:eastAsiaTheme="minorHAnsi" w:hAnsiTheme="minorHAnsi" w:cstheme="minorHAnsi"/>
          <w:bCs/>
          <w:lang w:eastAsia="en-US"/>
        </w:rPr>
        <w:t xml:space="preserve">Applicant states in paragraph 32.3 of her replying affidavit for the very first time that the relocation of the children to Johannesburg was a “trial period” and only for a year. This was not stated at all in her founding papers as supplemented but the earlier facts were further embroidered to bolster her case. Frankly, I find this to be dishonest. Regardless thereof, it was with consent that the children at such a very tender age and even more </w:t>
      </w:r>
      <w:r w:rsidR="0031684E">
        <w:rPr>
          <w:rFonts w:asciiTheme="minorHAnsi" w:eastAsiaTheme="minorHAnsi" w:hAnsiTheme="minorHAnsi" w:cstheme="minorHAnsi"/>
          <w:bCs/>
          <w:lang w:eastAsia="en-US"/>
        </w:rPr>
        <w:lastRenderedPageBreak/>
        <w:t>reliant on their mother relocated to reside with Respondent in Johannesburg. This simply provides credence to the assertions of Respondent. Applicant claims that prior to January 2025 she had full custody of the children. This is not the complete truth. The parties were residing together and had shared custody of the children at the time. This culminated in the children relocating to Johannesburg with Respondent. Applicant will have had her reasons for agreeing to such arrangement, and I will not take issue with that. The reality is that Respondent has been the custodian of the children, either jointly or independently, for the duration of the children’s lives thus far.</w:t>
      </w:r>
      <w:r w:rsidR="001710C6">
        <w:rPr>
          <w:rFonts w:asciiTheme="minorHAnsi" w:eastAsiaTheme="minorHAnsi" w:hAnsiTheme="minorHAnsi" w:cstheme="minorHAnsi"/>
          <w:bCs/>
          <w:lang w:eastAsia="en-US"/>
        </w:rPr>
        <w:t xml:space="preserve"> He has been an integral part of their lives and the primary care-giver at that. The Applicant has been in contact with the children as circumstances allowed and her rights thereto were generously accommodated, given the distance and circumstances of the parties.</w:t>
      </w:r>
    </w:p>
    <w:p w14:paraId="6C9AC27F" w14:textId="66E6EAF8" w:rsidR="004363A2" w:rsidRDefault="00E85AAA" w:rsidP="00D755EF">
      <w:pPr>
        <w:spacing w:after="200" w:line="480" w:lineRule="auto"/>
        <w:jc w:val="both"/>
        <w:rPr>
          <w:rFonts w:asciiTheme="minorHAnsi" w:eastAsiaTheme="minorHAnsi" w:hAnsiTheme="minorHAnsi" w:cstheme="minorHAnsi"/>
          <w:bCs/>
          <w:lang w:eastAsia="en-US"/>
        </w:rPr>
      </w:pPr>
      <w:r>
        <w:rPr>
          <w:rFonts w:asciiTheme="minorHAnsi" w:eastAsiaTheme="minorHAnsi" w:hAnsiTheme="minorHAnsi" w:cstheme="minorHAnsi"/>
          <w:bCs/>
          <w:lang w:eastAsia="en-US"/>
        </w:rPr>
        <w:t xml:space="preserve">[32] </w:t>
      </w:r>
      <w:r w:rsidR="0031684E">
        <w:rPr>
          <w:rFonts w:asciiTheme="minorHAnsi" w:eastAsiaTheme="minorHAnsi" w:hAnsiTheme="minorHAnsi" w:cstheme="minorHAnsi"/>
          <w:bCs/>
          <w:lang w:eastAsia="en-US"/>
        </w:rPr>
        <w:t xml:space="preserve">  </w:t>
      </w:r>
      <w:r w:rsidR="004363A2">
        <w:rPr>
          <w:rFonts w:asciiTheme="minorHAnsi" w:eastAsiaTheme="minorHAnsi" w:hAnsiTheme="minorHAnsi" w:cstheme="minorHAnsi"/>
          <w:bCs/>
          <w:lang w:eastAsia="en-US"/>
        </w:rPr>
        <w:t>In as far as Respondent’s rights are concerned, I refer to S.21(1) CA which is quoted below,</w:t>
      </w:r>
    </w:p>
    <w:p w14:paraId="796409B4" w14:textId="77777777" w:rsidR="004363A2" w:rsidRPr="004363A2" w:rsidRDefault="0031684E" w:rsidP="004363A2">
      <w:pPr>
        <w:ind w:left="1134" w:hanging="567"/>
        <w:rPr>
          <w:rFonts w:ascii="Arial" w:hAnsi="Arial" w:cs="Arial"/>
          <w:b/>
          <w:color w:val="000000" w:themeColor="text1"/>
          <w:sz w:val="20"/>
          <w:szCs w:val="20"/>
          <w:lang w:val="en-GB" w:eastAsia="en-US"/>
        </w:rPr>
      </w:pPr>
      <w:r>
        <w:rPr>
          <w:rFonts w:asciiTheme="minorHAnsi" w:eastAsiaTheme="minorHAnsi" w:hAnsiTheme="minorHAnsi" w:cstheme="minorHAnsi"/>
          <w:bCs/>
          <w:lang w:eastAsia="en-US"/>
        </w:rPr>
        <w:t xml:space="preserve"> </w:t>
      </w:r>
      <w:r w:rsidR="004363A2" w:rsidRPr="004363A2">
        <w:rPr>
          <w:rFonts w:ascii="Arial" w:hAnsi="Arial" w:cs="Arial"/>
          <w:b/>
          <w:color w:val="000000" w:themeColor="text1"/>
          <w:sz w:val="20"/>
          <w:szCs w:val="20"/>
          <w:lang w:val="en-GB" w:eastAsia="en-US"/>
        </w:rPr>
        <w:t>21.</w:t>
      </w:r>
      <w:r w:rsidR="004363A2" w:rsidRPr="004363A2">
        <w:rPr>
          <w:rFonts w:ascii="Arial" w:hAnsi="Arial" w:cs="Arial"/>
          <w:b/>
          <w:color w:val="000000" w:themeColor="text1"/>
          <w:sz w:val="20"/>
          <w:szCs w:val="20"/>
          <w:lang w:val="en-GB" w:eastAsia="en-US"/>
        </w:rPr>
        <w:tab/>
        <w:t>Parental responsibilities and rights of unmarried fathers</w:t>
      </w:r>
    </w:p>
    <w:p w14:paraId="0DD53B00" w14:textId="77777777" w:rsidR="004363A2" w:rsidRPr="004363A2" w:rsidRDefault="004363A2" w:rsidP="004363A2">
      <w:pPr>
        <w:spacing w:line="360" w:lineRule="auto"/>
        <w:ind w:left="567"/>
        <w:jc w:val="both"/>
        <w:rPr>
          <w:rFonts w:ascii="Arial" w:hAnsi="Arial" w:cs="Arial"/>
          <w:color w:val="000000" w:themeColor="text1"/>
          <w:sz w:val="20"/>
          <w:szCs w:val="20"/>
          <w:lang w:val="en-GB" w:eastAsia="en-US"/>
        </w:rPr>
      </w:pPr>
    </w:p>
    <w:p w14:paraId="4845252C" w14:textId="77777777" w:rsidR="004363A2" w:rsidRPr="004363A2" w:rsidRDefault="004363A2" w:rsidP="004363A2">
      <w:pPr>
        <w:spacing w:line="360" w:lineRule="auto"/>
        <w:ind w:left="1134" w:hanging="567"/>
        <w:jc w:val="both"/>
        <w:rPr>
          <w:rFonts w:ascii="Arial" w:hAnsi="Arial" w:cs="Arial"/>
          <w:color w:val="000000" w:themeColor="text1"/>
          <w:sz w:val="20"/>
          <w:szCs w:val="20"/>
          <w:lang w:val="en-GB" w:eastAsia="en-US"/>
        </w:rPr>
      </w:pPr>
      <w:r w:rsidRPr="004363A2">
        <w:rPr>
          <w:rFonts w:ascii="Arial" w:hAnsi="Arial" w:cs="Arial"/>
          <w:color w:val="000000" w:themeColor="text1"/>
          <w:sz w:val="20"/>
          <w:szCs w:val="20"/>
          <w:lang w:val="en-GB" w:eastAsia="en-US"/>
        </w:rPr>
        <w:t>(1)</w:t>
      </w:r>
      <w:r w:rsidRPr="004363A2">
        <w:rPr>
          <w:rFonts w:ascii="Arial" w:hAnsi="Arial" w:cs="Arial"/>
          <w:color w:val="000000" w:themeColor="text1"/>
          <w:sz w:val="20"/>
          <w:szCs w:val="20"/>
          <w:lang w:val="en-GB" w:eastAsia="en-US"/>
        </w:rPr>
        <w:tab/>
        <w:t xml:space="preserve">The biological father of a child who does not have parental responsibilities and rights in respect of the child in terms of section 20, </w:t>
      </w:r>
      <w:r w:rsidRPr="004363A2">
        <w:rPr>
          <w:rFonts w:ascii="Arial" w:hAnsi="Arial" w:cs="Arial"/>
          <w:color w:val="000000" w:themeColor="text1"/>
          <w:sz w:val="20"/>
          <w:szCs w:val="20"/>
          <w:u w:val="single"/>
          <w:lang w:val="en-GB" w:eastAsia="en-US"/>
        </w:rPr>
        <w:t>acquires full parental responsibilities and rights</w:t>
      </w:r>
      <w:r w:rsidRPr="004363A2">
        <w:rPr>
          <w:rFonts w:ascii="Arial" w:hAnsi="Arial" w:cs="Arial"/>
          <w:color w:val="000000" w:themeColor="text1"/>
          <w:sz w:val="20"/>
          <w:szCs w:val="20"/>
          <w:lang w:val="en-GB" w:eastAsia="en-US"/>
        </w:rPr>
        <w:t xml:space="preserve"> in respect of the child—</w:t>
      </w:r>
    </w:p>
    <w:p w14:paraId="1FAFEF57" w14:textId="77777777" w:rsidR="004363A2" w:rsidRPr="004363A2" w:rsidRDefault="004363A2" w:rsidP="004363A2">
      <w:pPr>
        <w:spacing w:line="360" w:lineRule="auto"/>
        <w:ind w:left="567"/>
        <w:jc w:val="both"/>
        <w:rPr>
          <w:rFonts w:ascii="Arial" w:hAnsi="Arial" w:cs="Arial"/>
          <w:color w:val="000000" w:themeColor="text1"/>
          <w:sz w:val="20"/>
          <w:szCs w:val="20"/>
          <w:lang w:val="en-GB" w:eastAsia="en-US"/>
        </w:rPr>
      </w:pPr>
    </w:p>
    <w:p w14:paraId="3B7D94BA" w14:textId="77777777" w:rsidR="004363A2" w:rsidRPr="004363A2" w:rsidRDefault="004363A2" w:rsidP="004363A2">
      <w:pPr>
        <w:tabs>
          <w:tab w:val="left" w:pos="1134"/>
        </w:tabs>
        <w:spacing w:line="360" w:lineRule="auto"/>
        <w:ind w:left="1701" w:hanging="567"/>
        <w:jc w:val="both"/>
        <w:rPr>
          <w:rFonts w:ascii="Arial" w:hAnsi="Arial" w:cs="Arial"/>
          <w:color w:val="000000" w:themeColor="text1"/>
          <w:sz w:val="20"/>
          <w:szCs w:val="20"/>
          <w:lang w:val="en-GB" w:eastAsia="en-US"/>
        </w:rPr>
      </w:pPr>
      <w:r w:rsidRPr="004363A2">
        <w:rPr>
          <w:rFonts w:ascii="Arial" w:hAnsi="Arial" w:cs="Arial"/>
          <w:color w:val="000000" w:themeColor="text1"/>
          <w:sz w:val="20"/>
          <w:szCs w:val="20"/>
          <w:lang w:val="en-GB" w:eastAsia="en-US"/>
        </w:rPr>
        <w:t>(a)</w:t>
      </w:r>
      <w:r w:rsidRPr="004363A2">
        <w:rPr>
          <w:rFonts w:ascii="Arial" w:hAnsi="Arial" w:cs="Arial"/>
          <w:color w:val="000000" w:themeColor="text1"/>
          <w:sz w:val="20"/>
          <w:szCs w:val="20"/>
          <w:lang w:val="en-GB" w:eastAsia="en-US"/>
        </w:rPr>
        <w:tab/>
        <w:t xml:space="preserve">if </w:t>
      </w:r>
      <w:r w:rsidRPr="004363A2">
        <w:rPr>
          <w:rFonts w:ascii="Arial" w:hAnsi="Arial" w:cs="Arial"/>
          <w:color w:val="000000" w:themeColor="text1"/>
          <w:sz w:val="20"/>
          <w:szCs w:val="20"/>
          <w:u w:val="single"/>
          <w:lang w:val="en-GB" w:eastAsia="en-US"/>
        </w:rPr>
        <w:t>at the time of the child’s birth</w:t>
      </w:r>
      <w:r w:rsidRPr="004363A2">
        <w:rPr>
          <w:rFonts w:ascii="Arial" w:hAnsi="Arial" w:cs="Arial"/>
          <w:color w:val="000000" w:themeColor="text1"/>
          <w:sz w:val="20"/>
          <w:szCs w:val="20"/>
          <w:lang w:val="en-GB" w:eastAsia="en-US"/>
        </w:rPr>
        <w:t xml:space="preserve"> he is </w:t>
      </w:r>
      <w:r w:rsidRPr="004363A2">
        <w:rPr>
          <w:rFonts w:ascii="Arial" w:hAnsi="Arial" w:cs="Arial"/>
          <w:color w:val="000000" w:themeColor="text1"/>
          <w:sz w:val="20"/>
          <w:szCs w:val="20"/>
          <w:u w:val="single"/>
          <w:lang w:val="en-GB" w:eastAsia="en-US"/>
        </w:rPr>
        <w:t>living with the mother in a permanent life-partnership</w:t>
      </w:r>
      <w:r w:rsidRPr="004363A2">
        <w:rPr>
          <w:rFonts w:ascii="Arial" w:hAnsi="Arial" w:cs="Arial"/>
          <w:color w:val="000000" w:themeColor="text1"/>
          <w:sz w:val="20"/>
          <w:szCs w:val="20"/>
          <w:lang w:val="en-GB" w:eastAsia="en-US"/>
        </w:rPr>
        <w:t xml:space="preserve">; </w:t>
      </w:r>
      <w:r w:rsidRPr="004363A2">
        <w:rPr>
          <w:rFonts w:ascii="Arial" w:hAnsi="Arial" w:cs="Arial"/>
          <w:b/>
          <w:bCs/>
          <w:color w:val="000000" w:themeColor="text1"/>
          <w:sz w:val="20"/>
          <w:szCs w:val="20"/>
          <w:u w:val="single"/>
          <w:lang w:val="en-GB" w:eastAsia="en-US"/>
        </w:rPr>
        <w:t>or</w:t>
      </w:r>
    </w:p>
    <w:p w14:paraId="5BBF7F48" w14:textId="77777777" w:rsidR="004363A2" w:rsidRPr="004363A2" w:rsidRDefault="004363A2" w:rsidP="004363A2">
      <w:pPr>
        <w:spacing w:line="360" w:lineRule="auto"/>
        <w:ind w:left="567"/>
        <w:jc w:val="both"/>
        <w:rPr>
          <w:rFonts w:ascii="Arial" w:hAnsi="Arial" w:cs="Arial"/>
          <w:color w:val="000000" w:themeColor="text1"/>
          <w:sz w:val="20"/>
          <w:szCs w:val="20"/>
          <w:lang w:val="en-GB" w:eastAsia="en-US"/>
        </w:rPr>
      </w:pPr>
    </w:p>
    <w:p w14:paraId="5C82D395" w14:textId="77777777" w:rsidR="004363A2" w:rsidRPr="004363A2" w:rsidRDefault="004363A2" w:rsidP="004363A2">
      <w:pPr>
        <w:tabs>
          <w:tab w:val="left" w:pos="1134"/>
        </w:tabs>
        <w:spacing w:line="360" w:lineRule="auto"/>
        <w:ind w:left="1701" w:hanging="567"/>
        <w:jc w:val="both"/>
        <w:rPr>
          <w:rFonts w:ascii="Arial" w:hAnsi="Arial" w:cs="Arial"/>
          <w:color w:val="000000" w:themeColor="text1"/>
          <w:sz w:val="20"/>
          <w:szCs w:val="20"/>
          <w:lang w:val="en-GB" w:eastAsia="en-US"/>
        </w:rPr>
      </w:pPr>
      <w:r w:rsidRPr="004363A2">
        <w:rPr>
          <w:rFonts w:ascii="Arial" w:hAnsi="Arial" w:cs="Arial"/>
          <w:color w:val="000000" w:themeColor="text1"/>
          <w:sz w:val="20"/>
          <w:szCs w:val="20"/>
          <w:lang w:val="en-GB" w:eastAsia="en-US"/>
        </w:rPr>
        <w:t>(b)</w:t>
      </w:r>
      <w:r w:rsidRPr="004363A2">
        <w:rPr>
          <w:rFonts w:ascii="Arial" w:hAnsi="Arial" w:cs="Arial"/>
          <w:color w:val="000000" w:themeColor="text1"/>
          <w:sz w:val="20"/>
          <w:szCs w:val="20"/>
          <w:lang w:val="en-GB" w:eastAsia="en-US"/>
        </w:rPr>
        <w:tab/>
        <w:t xml:space="preserve">if he, </w:t>
      </w:r>
      <w:r w:rsidRPr="004363A2">
        <w:rPr>
          <w:rFonts w:ascii="Arial" w:hAnsi="Arial" w:cs="Arial"/>
          <w:color w:val="000000" w:themeColor="text1"/>
          <w:sz w:val="20"/>
          <w:szCs w:val="20"/>
          <w:u w:val="single"/>
          <w:lang w:val="en-GB" w:eastAsia="en-US"/>
        </w:rPr>
        <w:t>regardless</w:t>
      </w:r>
      <w:r w:rsidRPr="004363A2">
        <w:rPr>
          <w:rFonts w:ascii="Arial" w:hAnsi="Arial" w:cs="Arial"/>
          <w:color w:val="000000" w:themeColor="text1"/>
          <w:sz w:val="20"/>
          <w:szCs w:val="20"/>
          <w:lang w:val="en-GB" w:eastAsia="en-US"/>
        </w:rPr>
        <w:t xml:space="preserve"> of whether he has lived or is living with the mother—</w:t>
      </w:r>
    </w:p>
    <w:p w14:paraId="21FBE095" w14:textId="77777777" w:rsidR="004363A2" w:rsidRPr="004363A2" w:rsidRDefault="004363A2" w:rsidP="004363A2">
      <w:pPr>
        <w:spacing w:line="360" w:lineRule="auto"/>
        <w:ind w:left="567"/>
        <w:jc w:val="both"/>
        <w:rPr>
          <w:rFonts w:ascii="Arial" w:hAnsi="Arial" w:cs="Arial"/>
          <w:color w:val="000000" w:themeColor="text1"/>
          <w:sz w:val="20"/>
          <w:szCs w:val="20"/>
          <w:lang w:val="en-GB" w:eastAsia="en-US"/>
        </w:rPr>
      </w:pPr>
    </w:p>
    <w:p w14:paraId="56E38BB8" w14:textId="77777777" w:rsidR="004363A2" w:rsidRPr="004363A2" w:rsidRDefault="004363A2" w:rsidP="004363A2">
      <w:pPr>
        <w:tabs>
          <w:tab w:val="left" w:pos="1701"/>
        </w:tabs>
        <w:spacing w:line="360" w:lineRule="auto"/>
        <w:ind w:left="2268" w:hanging="567"/>
        <w:jc w:val="both"/>
        <w:rPr>
          <w:rFonts w:ascii="Arial" w:hAnsi="Arial" w:cs="Arial"/>
          <w:color w:val="000000" w:themeColor="text1"/>
          <w:sz w:val="20"/>
          <w:szCs w:val="20"/>
          <w:lang w:val="en-GB" w:eastAsia="en-US"/>
        </w:rPr>
      </w:pPr>
      <w:r w:rsidRPr="004363A2">
        <w:rPr>
          <w:rFonts w:ascii="Arial" w:hAnsi="Arial" w:cs="Arial"/>
          <w:color w:val="000000" w:themeColor="text1"/>
          <w:sz w:val="20"/>
          <w:szCs w:val="20"/>
          <w:lang w:val="en-GB" w:eastAsia="en-US"/>
        </w:rPr>
        <w:t>(i)</w:t>
      </w:r>
      <w:r w:rsidRPr="004363A2">
        <w:rPr>
          <w:rFonts w:ascii="Arial" w:hAnsi="Arial" w:cs="Arial"/>
          <w:color w:val="000000" w:themeColor="text1"/>
          <w:sz w:val="20"/>
          <w:szCs w:val="20"/>
          <w:lang w:val="en-GB" w:eastAsia="en-US"/>
        </w:rPr>
        <w:tab/>
      </w:r>
      <w:r w:rsidRPr="004363A2">
        <w:rPr>
          <w:rFonts w:ascii="Arial" w:hAnsi="Arial" w:cs="Arial"/>
          <w:color w:val="000000" w:themeColor="text1"/>
          <w:sz w:val="20"/>
          <w:szCs w:val="20"/>
          <w:u w:val="single"/>
          <w:lang w:val="en-GB" w:eastAsia="en-US"/>
        </w:rPr>
        <w:t>consents to be identified</w:t>
      </w:r>
      <w:r w:rsidRPr="004363A2">
        <w:rPr>
          <w:rFonts w:ascii="Arial" w:hAnsi="Arial" w:cs="Arial"/>
          <w:color w:val="000000" w:themeColor="text1"/>
          <w:sz w:val="20"/>
          <w:szCs w:val="20"/>
          <w:lang w:val="en-GB" w:eastAsia="en-US"/>
        </w:rPr>
        <w:t xml:space="preserve"> or successfully applies in terms of section 26 to be identified </w:t>
      </w:r>
      <w:r w:rsidRPr="004363A2">
        <w:rPr>
          <w:rFonts w:ascii="Arial" w:hAnsi="Arial" w:cs="Arial"/>
          <w:color w:val="000000" w:themeColor="text1"/>
          <w:sz w:val="20"/>
          <w:szCs w:val="20"/>
          <w:u w:val="single"/>
          <w:lang w:val="en-GB" w:eastAsia="en-US"/>
        </w:rPr>
        <w:t>as the child’s father</w:t>
      </w:r>
      <w:r w:rsidRPr="004363A2">
        <w:rPr>
          <w:rFonts w:ascii="Arial" w:hAnsi="Arial" w:cs="Arial"/>
          <w:color w:val="000000" w:themeColor="text1"/>
          <w:sz w:val="20"/>
          <w:szCs w:val="20"/>
          <w:lang w:val="en-GB" w:eastAsia="en-US"/>
        </w:rPr>
        <w:t xml:space="preserve"> or pays damages in terms of customary law;</w:t>
      </w:r>
    </w:p>
    <w:p w14:paraId="7273F8A5" w14:textId="77777777" w:rsidR="004363A2" w:rsidRPr="004363A2" w:rsidRDefault="004363A2" w:rsidP="004363A2">
      <w:pPr>
        <w:spacing w:line="360" w:lineRule="auto"/>
        <w:ind w:left="567"/>
        <w:jc w:val="both"/>
        <w:rPr>
          <w:rFonts w:ascii="Arial" w:hAnsi="Arial" w:cs="Arial"/>
          <w:color w:val="000000" w:themeColor="text1"/>
          <w:sz w:val="20"/>
          <w:szCs w:val="20"/>
          <w:lang w:val="en-GB" w:eastAsia="en-US"/>
        </w:rPr>
      </w:pPr>
    </w:p>
    <w:p w14:paraId="6616B3DF" w14:textId="77777777" w:rsidR="004363A2" w:rsidRPr="004363A2" w:rsidRDefault="004363A2" w:rsidP="004363A2">
      <w:pPr>
        <w:tabs>
          <w:tab w:val="left" w:pos="1701"/>
        </w:tabs>
        <w:spacing w:line="360" w:lineRule="auto"/>
        <w:ind w:left="2268" w:hanging="567"/>
        <w:jc w:val="both"/>
        <w:rPr>
          <w:rFonts w:ascii="Arial" w:hAnsi="Arial" w:cs="Arial"/>
          <w:color w:val="000000" w:themeColor="text1"/>
          <w:sz w:val="20"/>
          <w:szCs w:val="20"/>
          <w:lang w:val="en-GB" w:eastAsia="en-US"/>
        </w:rPr>
      </w:pPr>
      <w:r w:rsidRPr="004363A2">
        <w:rPr>
          <w:rFonts w:ascii="Arial" w:hAnsi="Arial" w:cs="Arial"/>
          <w:color w:val="000000" w:themeColor="text1"/>
          <w:sz w:val="20"/>
          <w:szCs w:val="20"/>
          <w:lang w:val="en-GB" w:eastAsia="en-US"/>
        </w:rPr>
        <w:t>(ii)</w:t>
      </w:r>
      <w:r w:rsidRPr="004363A2">
        <w:rPr>
          <w:rFonts w:ascii="Arial" w:hAnsi="Arial" w:cs="Arial"/>
          <w:color w:val="000000" w:themeColor="text1"/>
          <w:sz w:val="20"/>
          <w:szCs w:val="20"/>
          <w:lang w:val="en-GB" w:eastAsia="en-US"/>
        </w:rPr>
        <w:tab/>
      </w:r>
      <w:r w:rsidRPr="004363A2">
        <w:rPr>
          <w:rFonts w:ascii="Arial" w:hAnsi="Arial" w:cs="Arial"/>
          <w:color w:val="000000" w:themeColor="text1"/>
          <w:sz w:val="20"/>
          <w:szCs w:val="20"/>
          <w:u w:val="single"/>
          <w:lang w:val="en-GB" w:eastAsia="en-US"/>
        </w:rPr>
        <w:t>contributes</w:t>
      </w:r>
      <w:r w:rsidRPr="004363A2">
        <w:rPr>
          <w:rFonts w:ascii="Arial" w:hAnsi="Arial" w:cs="Arial"/>
          <w:color w:val="000000" w:themeColor="text1"/>
          <w:sz w:val="20"/>
          <w:szCs w:val="20"/>
          <w:lang w:val="en-GB" w:eastAsia="en-US"/>
        </w:rPr>
        <w:t xml:space="preserve"> or has attempted in good faith to contribute </w:t>
      </w:r>
      <w:r w:rsidRPr="004363A2">
        <w:rPr>
          <w:rFonts w:ascii="Arial" w:hAnsi="Arial" w:cs="Arial"/>
          <w:color w:val="000000" w:themeColor="text1"/>
          <w:sz w:val="20"/>
          <w:szCs w:val="20"/>
          <w:u w:val="single"/>
          <w:lang w:val="en-GB" w:eastAsia="en-US"/>
        </w:rPr>
        <w:t>to the child’s upbringing</w:t>
      </w:r>
      <w:r w:rsidRPr="004363A2">
        <w:rPr>
          <w:rFonts w:ascii="Arial" w:hAnsi="Arial" w:cs="Arial"/>
          <w:color w:val="000000" w:themeColor="text1"/>
          <w:sz w:val="20"/>
          <w:szCs w:val="20"/>
          <w:lang w:val="en-GB" w:eastAsia="en-US"/>
        </w:rPr>
        <w:t xml:space="preserve"> for a reasonable period; and</w:t>
      </w:r>
    </w:p>
    <w:p w14:paraId="0FFF5B70" w14:textId="77777777" w:rsidR="004363A2" w:rsidRPr="004363A2" w:rsidRDefault="004363A2" w:rsidP="004363A2">
      <w:pPr>
        <w:spacing w:line="360" w:lineRule="auto"/>
        <w:ind w:left="567"/>
        <w:jc w:val="both"/>
        <w:rPr>
          <w:rFonts w:ascii="Arial" w:hAnsi="Arial" w:cs="Arial"/>
          <w:color w:val="000000" w:themeColor="text1"/>
          <w:sz w:val="20"/>
          <w:szCs w:val="20"/>
          <w:lang w:val="en-GB" w:eastAsia="en-US"/>
        </w:rPr>
      </w:pPr>
    </w:p>
    <w:p w14:paraId="1F19650B" w14:textId="77777777" w:rsidR="004363A2" w:rsidRDefault="004363A2" w:rsidP="004363A2">
      <w:pPr>
        <w:tabs>
          <w:tab w:val="left" w:pos="1701"/>
        </w:tabs>
        <w:spacing w:line="360" w:lineRule="auto"/>
        <w:ind w:left="2268" w:hanging="567"/>
        <w:jc w:val="both"/>
        <w:rPr>
          <w:rFonts w:ascii="Arial" w:hAnsi="Arial" w:cs="Arial"/>
          <w:color w:val="000000" w:themeColor="text1"/>
          <w:sz w:val="20"/>
          <w:szCs w:val="20"/>
          <w:lang w:val="en-GB" w:eastAsia="en-US"/>
        </w:rPr>
      </w:pPr>
      <w:r w:rsidRPr="004363A2">
        <w:rPr>
          <w:rFonts w:ascii="Arial" w:hAnsi="Arial" w:cs="Arial"/>
          <w:color w:val="000000" w:themeColor="text1"/>
          <w:sz w:val="20"/>
          <w:szCs w:val="20"/>
          <w:lang w:val="en-GB" w:eastAsia="en-US"/>
        </w:rPr>
        <w:lastRenderedPageBreak/>
        <w:t>(iii)</w:t>
      </w:r>
      <w:r w:rsidRPr="004363A2">
        <w:rPr>
          <w:rFonts w:ascii="Arial" w:hAnsi="Arial" w:cs="Arial"/>
          <w:color w:val="000000" w:themeColor="text1"/>
          <w:sz w:val="20"/>
          <w:szCs w:val="20"/>
          <w:lang w:val="en-GB" w:eastAsia="en-US"/>
        </w:rPr>
        <w:tab/>
      </w:r>
      <w:r w:rsidRPr="004363A2">
        <w:rPr>
          <w:rFonts w:ascii="Arial" w:hAnsi="Arial" w:cs="Arial"/>
          <w:color w:val="000000" w:themeColor="text1"/>
          <w:sz w:val="20"/>
          <w:szCs w:val="20"/>
          <w:u w:val="single"/>
          <w:lang w:val="en-GB" w:eastAsia="en-US"/>
        </w:rPr>
        <w:t>contributes</w:t>
      </w:r>
      <w:r w:rsidRPr="004363A2">
        <w:rPr>
          <w:rFonts w:ascii="Arial" w:hAnsi="Arial" w:cs="Arial"/>
          <w:color w:val="000000" w:themeColor="text1"/>
          <w:sz w:val="20"/>
          <w:szCs w:val="20"/>
          <w:lang w:val="en-GB" w:eastAsia="en-US"/>
        </w:rPr>
        <w:t xml:space="preserve"> or has attempted in good faith to contribute </w:t>
      </w:r>
      <w:r w:rsidRPr="004363A2">
        <w:rPr>
          <w:rFonts w:ascii="Arial" w:hAnsi="Arial" w:cs="Arial"/>
          <w:color w:val="000000" w:themeColor="text1"/>
          <w:sz w:val="20"/>
          <w:szCs w:val="20"/>
          <w:u w:val="single"/>
          <w:lang w:val="en-GB" w:eastAsia="en-US"/>
        </w:rPr>
        <w:t>towards expenses in connection with the maintenance</w:t>
      </w:r>
      <w:r w:rsidRPr="004363A2">
        <w:rPr>
          <w:rFonts w:ascii="Arial" w:hAnsi="Arial" w:cs="Arial"/>
          <w:color w:val="000000" w:themeColor="text1"/>
          <w:sz w:val="20"/>
          <w:szCs w:val="20"/>
          <w:lang w:val="en-GB" w:eastAsia="en-US"/>
        </w:rPr>
        <w:t xml:space="preserve"> of the child for a reasonable period. </w:t>
      </w:r>
      <w:r>
        <w:rPr>
          <w:rFonts w:ascii="Arial" w:hAnsi="Arial" w:cs="Arial"/>
          <w:color w:val="000000" w:themeColor="text1"/>
          <w:sz w:val="20"/>
          <w:szCs w:val="20"/>
          <w:lang w:val="en-GB" w:eastAsia="en-US"/>
        </w:rPr>
        <w:t>(Emphasis added by underlining and/or bold print.)</w:t>
      </w:r>
    </w:p>
    <w:p w14:paraId="18AD375F" w14:textId="77777777" w:rsidR="004363A2" w:rsidRDefault="004363A2" w:rsidP="000E2ECC">
      <w:pPr>
        <w:tabs>
          <w:tab w:val="left" w:pos="1701"/>
        </w:tabs>
        <w:spacing w:line="360" w:lineRule="auto"/>
        <w:ind w:left="2007" w:hanging="567"/>
        <w:rPr>
          <w:rFonts w:ascii="Arial" w:hAnsi="Arial" w:cs="Arial"/>
          <w:color w:val="000000" w:themeColor="text1"/>
          <w:sz w:val="20"/>
          <w:szCs w:val="20"/>
          <w:lang w:val="en-GB" w:eastAsia="en-US"/>
        </w:rPr>
      </w:pPr>
    </w:p>
    <w:p w14:paraId="5263A0F7" w14:textId="5A71EE4C" w:rsidR="004363A2" w:rsidRPr="004363A2" w:rsidRDefault="000E2ECC" w:rsidP="000E2ECC">
      <w:pPr>
        <w:tabs>
          <w:tab w:val="left" w:pos="1701"/>
        </w:tabs>
        <w:spacing w:line="360" w:lineRule="auto"/>
        <w:ind w:left="567" w:hanging="567"/>
        <w:rPr>
          <w:rFonts w:ascii="Arial" w:hAnsi="Arial" w:cs="Arial"/>
          <w:color w:val="000000" w:themeColor="text1"/>
          <w:sz w:val="20"/>
          <w:szCs w:val="20"/>
          <w:lang w:val="en-GB" w:eastAsia="en-US"/>
        </w:rPr>
      </w:pPr>
      <w:r>
        <w:rPr>
          <w:rFonts w:ascii="Arial" w:hAnsi="Arial" w:cs="Arial"/>
          <w:color w:val="000000" w:themeColor="text1"/>
          <w:sz w:val="20"/>
          <w:szCs w:val="20"/>
          <w:lang w:val="en-GB" w:eastAsia="en-US"/>
        </w:rPr>
        <w:t xml:space="preserve"> </w:t>
      </w:r>
      <w:r w:rsidR="004363A2">
        <w:rPr>
          <w:rFonts w:ascii="Arial" w:hAnsi="Arial" w:cs="Arial"/>
          <w:color w:val="000000" w:themeColor="text1"/>
          <w:sz w:val="20"/>
          <w:szCs w:val="20"/>
          <w:lang w:val="en-GB" w:eastAsia="en-US"/>
        </w:rPr>
        <w:t xml:space="preserve">    </w:t>
      </w:r>
    </w:p>
    <w:p w14:paraId="4713E9C1" w14:textId="3E56DFD8" w:rsidR="000B4172" w:rsidRDefault="000E2ECC" w:rsidP="000679CF">
      <w:pPr>
        <w:spacing w:after="200" w:line="480" w:lineRule="auto"/>
        <w:rPr>
          <w:rFonts w:asciiTheme="minorHAnsi" w:eastAsiaTheme="minorHAnsi" w:hAnsiTheme="minorHAnsi" w:cstheme="minorHAnsi"/>
          <w:bCs/>
          <w:lang w:eastAsia="en-US"/>
        </w:rPr>
      </w:pPr>
      <w:r w:rsidRPr="000E2ECC">
        <w:rPr>
          <w:rFonts w:asciiTheme="minorHAnsi" w:eastAsiaTheme="minorHAnsi" w:hAnsiTheme="minorHAnsi" w:cstheme="minorHAnsi"/>
          <w:bCs/>
          <w:lang w:eastAsia="en-US"/>
        </w:rPr>
        <w:t>From the quoted extract it is an undeniable fact that Respondent has indeed acquired full</w:t>
      </w:r>
      <w:r>
        <w:rPr>
          <w:rFonts w:asciiTheme="minorHAnsi" w:eastAsiaTheme="minorHAnsi" w:hAnsiTheme="minorHAnsi" w:cstheme="minorHAnsi"/>
          <w:bCs/>
          <w:lang w:eastAsia="en-US"/>
        </w:rPr>
        <w:t xml:space="preserve"> </w:t>
      </w:r>
      <w:r w:rsidRPr="000E2ECC">
        <w:rPr>
          <w:rFonts w:asciiTheme="minorHAnsi" w:eastAsiaTheme="minorHAnsi" w:hAnsiTheme="minorHAnsi" w:cstheme="minorHAnsi"/>
          <w:bCs/>
          <w:lang w:eastAsia="en-US"/>
        </w:rPr>
        <w:t>parental responsibilities and rights. Applicant’s veiled attempt at denying Respondent thereof</w:t>
      </w:r>
      <w:r>
        <w:rPr>
          <w:rFonts w:asciiTheme="minorHAnsi" w:eastAsiaTheme="minorHAnsi" w:hAnsiTheme="minorHAnsi" w:cstheme="minorHAnsi"/>
          <w:bCs/>
          <w:lang w:eastAsia="en-US"/>
        </w:rPr>
        <w:t xml:space="preserve"> </w:t>
      </w:r>
      <w:r w:rsidRPr="000E2ECC">
        <w:rPr>
          <w:rFonts w:asciiTheme="minorHAnsi" w:eastAsiaTheme="minorHAnsi" w:hAnsiTheme="minorHAnsi" w:cstheme="minorHAnsi"/>
          <w:bCs/>
          <w:lang w:eastAsia="en-US"/>
        </w:rPr>
        <w:t xml:space="preserve">cannot be upheld. </w:t>
      </w:r>
      <w:r>
        <w:rPr>
          <w:rFonts w:asciiTheme="minorHAnsi" w:eastAsiaTheme="minorHAnsi" w:hAnsiTheme="minorHAnsi" w:cstheme="minorHAnsi"/>
          <w:bCs/>
          <w:lang w:eastAsia="en-US"/>
        </w:rPr>
        <w:t>That does not imply that Applicant is divested of her parental responsibilities and rights either.</w:t>
      </w:r>
      <w:r w:rsidR="000B4172">
        <w:rPr>
          <w:rFonts w:asciiTheme="minorHAnsi" w:eastAsiaTheme="minorHAnsi" w:hAnsiTheme="minorHAnsi" w:cstheme="minorHAnsi"/>
          <w:bCs/>
          <w:lang w:eastAsia="en-US"/>
        </w:rPr>
        <w:t xml:space="preserve"> The CA provides as follow per S.30 thereof,</w:t>
      </w:r>
    </w:p>
    <w:p w14:paraId="15784784" w14:textId="77777777" w:rsidR="000B4172" w:rsidRPr="000B4172" w:rsidRDefault="000B4172" w:rsidP="000B4172">
      <w:pPr>
        <w:spacing w:line="360" w:lineRule="auto"/>
        <w:ind w:left="1134" w:hanging="567"/>
        <w:jc w:val="both"/>
        <w:rPr>
          <w:rFonts w:ascii="Arial" w:hAnsi="Arial" w:cs="Arial"/>
          <w:b/>
          <w:color w:val="000000" w:themeColor="text1"/>
          <w:sz w:val="20"/>
          <w:szCs w:val="20"/>
          <w:lang w:val="en-GB" w:eastAsia="en-US"/>
        </w:rPr>
      </w:pPr>
      <w:r w:rsidRPr="000B4172">
        <w:rPr>
          <w:rFonts w:ascii="Arial" w:hAnsi="Arial" w:cs="Arial"/>
          <w:b/>
          <w:color w:val="000000" w:themeColor="text1"/>
          <w:sz w:val="20"/>
          <w:szCs w:val="20"/>
          <w:lang w:val="en-GB" w:eastAsia="en-US"/>
        </w:rPr>
        <w:t>30.</w:t>
      </w:r>
      <w:r w:rsidRPr="000B4172">
        <w:rPr>
          <w:rFonts w:ascii="Arial" w:hAnsi="Arial" w:cs="Arial"/>
          <w:b/>
          <w:color w:val="000000" w:themeColor="text1"/>
          <w:sz w:val="20"/>
          <w:szCs w:val="20"/>
          <w:lang w:val="en-GB" w:eastAsia="en-US"/>
        </w:rPr>
        <w:tab/>
        <w:t>Co-holders of parental responsibilities and rights</w:t>
      </w:r>
    </w:p>
    <w:p w14:paraId="425C43CE" w14:textId="77777777" w:rsidR="000B4172" w:rsidRPr="000B4172" w:rsidRDefault="000B4172" w:rsidP="000B4172">
      <w:pPr>
        <w:spacing w:line="360" w:lineRule="auto"/>
        <w:ind w:left="567"/>
        <w:jc w:val="both"/>
        <w:rPr>
          <w:rFonts w:ascii="Arial" w:hAnsi="Arial" w:cs="Arial"/>
          <w:color w:val="000000" w:themeColor="text1"/>
          <w:sz w:val="20"/>
          <w:szCs w:val="20"/>
          <w:lang w:val="en-GB" w:eastAsia="en-US"/>
        </w:rPr>
      </w:pPr>
    </w:p>
    <w:p w14:paraId="68A22028" w14:textId="77777777" w:rsidR="000B4172" w:rsidRPr="000B4172" w:rsidRDefault="000B4172" w:rsidP="000B4172">
      <w:pPr>
        <w:spacing w:line="360" w:lineRule="auto"/>
        <w:ind w:left="1134" w:hanging="567"/>
        <w:jc w:val="both"/>
        <w:rPr>
          <w:rFonts w:ascii="Arial" w:hAnsi="Arial" w:cs="Arial"/>
          <w:color w:val="000000" w:themeColor="text1"/>
          <w:sz w:val="20"/>
          <w:szCs w:val="20"/>
          <w:lang w:val="en-GB" w:eastAsia="en-US"/>
        </w:rPr>
      </w:pPr>
      <w:r w:rsidRPr="000B4172">
        <w:rPr>
          <w:rFonts w:ascii="Arial" w:hAnsi="Arial" w:cs="Arial"/>
          <w:color w:val="000000" w:themeColor="text1"/>
          <w:sz w:val="20"/>
          <w:szCs w:val="20"/>
          <w:lang w:val="en-GB" w:eastAsia="en-US"/>
        </w:rPr>
        <w:t>(1)</w:t>
      </w:r>
      <w:r w:rsidRPr="000B4172">
        <w:rPr>
          <w:rFonts w:ascii="Arial" w:hAnsi="Arial" w:cs="Arial"/>
          <w:color w:val="000000" w:themeColor="text1"/>
          <w:sz w:val="20"/>
          <w:szCs w:val="20"/>
          <w:lang w:val="en-GB" w:eastAsia="en-US"/>
        </w:rPr>
        <w:tab/>
      </w:r>
      <w:r w:rsidRPr="000B4172">
        <w:rPr>
          <w:rFonts w:ascii="Arial" w:hAnsi="Arial" w:cs="Arial"/>
          <w:color w:val="000000" w:themeColor="text1"/>
          <w:sz w:val="20"/>
          <w:szCs w:val="20"/>
          <w:u w:val="single"/>
          <w:lang w:val="en-GB" w:eastAsia="en-US"/>
        </w:rPr>
        <w:t>More than one person may hold parental responsibilities and rights</w:t>
      </w:r>
      <w:r w:rsidRPr="000B4172">
        <w:rPr>
          <w:rFonts w:ascii="Arial" w:hAnsi="Arial" w:cs="Arial"/>
          <w:color w:val="000000" w:themeColor="text1"/>
          <w:sz w:val="20"/>
          <w:szCs w:val="20"/>
          <w:lang w:val="en-GB" w:eastAsia="en-US"/>
        </w:rPr>
        <w:t xml:space="preserve"> in respect of the same child.</w:t>
      </w:r>
    </w:p>
    <w:p w14:paraId="2EB89512" w14:textId="77777777" w:rsidR="000B4172" w:rsidRPr="000B4172" w:rsidRDefault="000B4172" w:rsidP="000B4172">
      <w:pPr>
        <w:spacing w:line="360" w:lineRule="auto"/>
        <w:ind w:left="567"/>
        <w:jc w:val="both"/>
        <w:rPr>
          <w:rFonts w:ascii="Arial" w:hAnsi="Arial" w:cs="Arial"/>
          <w:color w:val="000000" w:themeColor="text1"/>
          <w:sz w:val="20"/>
          <w:szCs w:val="20"/>
          <w:lang w:val="en-GB" w:eastAsia="en-US"/>
        </w:rPr>
      </w:pPr>
    </w:p>
    <w:p w14:paraId="7A3B94A6" w14:textId="77777777" w:rsidR="000B4172" w:rsidRPr="000B4172" w:rsidRDefault="000B4172" w:rsidP="000B4172">
      <w:pPr>
        <w:spacing w:line="360" w:lineRule="auto"/>
        <w:ind w:left="1134" w:hanging="567"/>
        <w:jc w:val="both"/>
        <w:rPr>
          <w:rFonts w:ascii="Arial" w:hAnsi="Arial" w:cs="Arial"/>
          <w:color w:val="000000" w:themeColor="text1"/>
          <w:sz w:val="20"/>
          <w:szCs w:val="20"/>
          <w:lang w:val="en-GB" w:eastAsia="en-US"/>
        </w:rPr>
      </w:pPr>
      <w:r w:rsidRPr="000B4172">
        <w:rPr>
          <w:rFonts w:ascii="Arial" w:hAnsi="Arial" w:cs="Arial"/>
          <w:color w:val="000000" w:themeColor="text1"/>
          <w:sz w:val="20"/>
          <w:szCs w:val="20"/>
          <w:lang w:val="en-GB" w:eastAsia="en-US"/>
        </w:rPr>
        <w:t>(2)</w:t>
      </w:r>
      <w:r w:rsidRPr="000B4172">
        <w:rPr>
          <w:rFonts w:ascii="Arial" w:hAnsi="Arial" w:cs="Arial"/>
          <w:color w:val="000000" w:themeColor="text1"/>
          <w:sz w:val="20"/>
          <w:szCs w:val="20"/>
          <w:lang w:val="en-GB" w:eastAsia="en-US"/>
        </w:rPr>
        <w:tab/>
        <w:t xml:space="preserve">When more than one person holds the same parental responsibilities and rights in respect of a child, </w:t>
      </w:r>
      <w:r w:rsidRPr="000B4172">
        <w:rPr>
          <w:rFonts w:ascii="Arial" w:hAnsi="Arial" w:cs="Arial"/>
          <w:color w:val="000000" w:themeColor="text1"/>
          <w:sz w:val="20"/>
          <w:szCs w:val="20"/>
          <w:u w:val="single"/>
          <w:lang w:val="en-GB" w:eastAsia="en-US"/>
        </w:rPr>
        <w:t>each of the co-holders may act without the consent of the other</w:t>
      </w:r>
      <w:r w:rsidRPr="000B4172">
        <w:rPr>
          <w:rFonts w:ascii="Arial" w:hAnsi="Arial" w:cs="Arial"/>
          <w:color w:val="000000" w:themeColor="text1"/>
          <w:sz w:val="20"/>
          <w:szCs w:val="20"/>
          <w:lang w:val="en-GB" w:eastAsia="en-US"/>
        </w:rPr>
        <w:t xml:space="preserve"> co-holder or holders when exercising those responsibilities and rights, except where this Act, any other law or an order of court provides otherwise.</w:t>
      </w:r>
    </w:p>
    <w:p w14:paraId="5AC29E96" w14:textId="77777777" w:rsidR="000B4172" w:rsidRPr="000B4172" w:rsidRDefault="000B4172" w:rsidP="000B4172">
      <w:pPr>
        <w:spacing w:line="360" w:lineRule="auto"/>
        <w:ind w:left="567"/>
        <w:jc w:val="both"/>
        <w:rPr>
          <w:rFonts w:ascii="Arial" w:hAnsi="Arial" w:cs="Arial"/>
          <w:color w:val="000000" w:themeColor="text1"/>
          <w:sz w:val="20"/>
          <w:szCs w:val="20"/>
          <w:lang w:val="en-GB" w:eastAsia="en-US"/>
        </w:rPr>
      </w:pPr>
    </w:p>
    <w:p w14:paraId="774ACB1D" w14:textId="77777777" w:rsidR="000B4172" w:rsidRPr="000B4172" w:rsidRDefault="000B4172" w:rsidP="000B4172">
      <w:pPr>
        <w:spacing w:line="360" w:lineRule="auto"/>
        <w:ind w:left="1134" w:hanging="567"/>
        <w:jc w:val="both"/>
        <w:rPr>
          <w:rFonts w:ascii="Arial" w:hAnsi="Arial" w:cs="Arial"/>
          <w:color w:val="000000" w:themeColor="text1"/>
          <w:sz w:val="20"/>
          <w:szCs w:val="20"/>
          <w:lang w:val="en-GB" w:eastAsia="en-US"/>
        </w:rPr>
      </w:pPr>
      <w:r w:rsidRPr="000B4172">
        <w:rPr>
          <w:rFonts w:ascii="Arial" w:hAnsi="Arial" w:cs="Arial"/>
          <w:color w:val="000000" w:themeColor="text1"/>
          <w:sz w:val="20"/>
          <w:szCs w:val="20"/>
          <w:lang w:val="en-GB" w:eastAsia="en-US"/>
        </w:rPr>
        <w:t>(3)</w:t>
      </w:r>
      <w:r w:rsidRPr="000B4172">
        <w:rPr>
          <w:rFonts w:ascii="Arial" w:hAnsi="Arial" w:cs="Arial"/>
          <w:color w:val="000000" w:themeColor="text1"/>
          <w:sz w:val="20"/>
          <w:szCs w:val="20"/>
          <w:lang w:val="en-GB" w:eastAsia="en-US"/>
        </w:rPr>
        <w:tab/>
        <w:t xml:space="preserve">A </w:t>
      </w:r>
      <w:r w:rsidRPr="000B4172">
        <w:rPr>
          <w:rFonts w:ascii="Arial" w:hAnsi="Arial" w:cs="Arial"/>
          <w:color w:val="000000" w:themeColor="text1"/>
          <w:sz w:val="20"/>
          <w:szCs w:val="20"/>
          <w:u w:val="single"/>
          <w:lang w:val="en-GB" w:eastAsia="en-US"/>
        </w:rPr>
        <w:t>co-holder of parental responsibilities and rights</w:t>
      </w:r>
      <w:r w:rsidRPr="000B4172">
        <w:rPr>
          <w:rFonts w:ascii="Arial" w:hAnsi="Arial" w:cs="Arial"/>
          <w:color w:val="000000" w:themeColor="text1"/>
          <w:sz w:val="20"/>
          <w:szCs w:val="20"/>
          <w:lang w:val="en-GB" w:eastAsia="en-US"/>
        </w:rPr>
        <w:t xml:space="preserve"> may not surrender or transfer those responsibilities and rights to another co-holder or any other person, but </w:t>
      </w:r>
      <w:r w:rsidRPr="000B4172">
        <w:rPr>
          <w:rFonts w:ascii="Arial" w:hAnsi="Arial" w:cs="Arial"/>
          <w:color w:val="000000" w:themeColor="text1"/>
          <w:sz w:val="20"/>
          <w:szCs w:val="20"/>
          <w:u w:val="single"/>
          <w:lang w:val="en-GB" w:eastAsia="en-US"/>
        </w:rPr>
        <w:t>may by agreement with that other co-holder or person allow the other co-holder or person to exercise any or all of those responsibilities and rights</w:t>
      </w:r>
      <w:r w:rsidRPr="000B4172">
        <w:rPr>
          <w:rFonts w:ascii="Arial" w:hAnsi="Arial" w:cs="Arial"/>
          <w:color w:val="000000" w:themeColor="text1"/>
          <w:sz w:val="20"/>
          <w:szCs w:val="20"/>
          <w:lang w:val="en-GB" w:eastAsia="en-US"/>
        </w:rPr>
        <w:t xml:space="preserve"> on his or her behalf.</w:t>
      </w:r>
    </w:p>
    <w:p w14:paraId="0B5F0396" w14:textId="77777777" w:rsidR="000B4172" w:rsidRPr="000B4172" w:rsidRDefault="000B4172" w:rsidP="000B4172">
      <w:pPr>
        <w:spacing w:line="360" w:lineRule="auto"/>
        <w:ind w:left="567"/>
        <w:jc w:val="both"/>
        <w:rPr>
          <w:rFonts w:ascii="Arial" w:hAnsi="Arial" w:cs="Arial"/>
          <w:color w:val="000000" w:themeColor="text1"/>
          <w:sz w:val="20"/>
          <w:szCs w:val="20"/>
          <w:lang w:val="en-GB" w:eastAsia="en-US"/>
        </w:rPr>
      </w:pPr>
    </w:p>
    <w:p w14:paraId="57194245" w14:textId="77777777" w:rsidR="000B4172" w:rsidRPr="000B4172" w:rsidRDefault="000B4172" w:rsidP="000B4172">
      <w:pPr>
        <w:spacing w:line="360" w:lineRule="auto"/>
        <w:ind w:left="1134" w:hanging="567"/>
        <w:jc w:val="both"/>
        <w:rPr>
          <w:rFonts w:ascii="Arial" w:hAnsi="Arial" w:cs="Arial"/>
          <w:color w:val="000000" w:themeColor="text1"/>
          <w:sz w:val="20"/>
          <w:szCs w:val="20"/>
          <w:lang w:val="en-GB" w:eastAsia="en-US"/>
        </w:rPr>
      </w:pPr>
      <w:r w:rsidRPr="000B4172">
        <w:rPr>
          <w:rFonts w:ascii="Arial" w:hAnsi="Arial" w:cs="Arial"/>
          <w:color w:val="000000" w:themeColor="text1"/>
          <w:sz w:val="20"/>
          <w:szCs w:val="20"/>
          <w:lang w:val="en-GB" w:eastAsia="en-US"/>
        </w:rPr>
        <w:t>(4)</w:t>
      </w:r>
      <w:r w:rsidRPr="000B4172">
        <w:rPr>
          <w:rFonts w:ascii="Arial" w:hAnsi="Arial" w:cs="Arial"/>
          <w:color w:val="000000" w:themeColor="text1"/>
          <w:sz w:val="20"/>
          <w:szCs w:val="20"/>
          <w:lang w:val="en-GB" w:eastAsia="en-US"/>
        </w:rPr>
        <w:tab/>
        <w:t xml:space="preserve">An </w:t>
      </w:r>
      <w:r w:rsidRPr="000B4172">
        <w:rPr>
          <w:rFonts w:ascii="Arial" w:hAnsi="Arial" w:cs="Arial"/>
          <w:color w:val="000000" w:themeColor="text1"/>
          <w:sz w:val="20"/>
          <w:szCs w:val="20"/>
          <w:u w:val="single"/>
          <w:lang w:val="en-GB" w:eastAsia="en-US"/>
        </w:rPr>
        <w:t>agreement</w:t>
      </w:r>
      <w:r w:rsidRPr="000B4172">
        <w:rPr>
          <w:rFonts w:ascii="Arial" w:hAnsi="Arial" w:cs="Arial"/>
          <w:color w:val="000000" w:themeColor="text1"/>
          <w:sz w:val="20"/>
          <w:szCs w:val="20"/>
          <w:lang w:val="en-GB" w:eastAsia="en-US"/>
        </w:rPr>
        <w:t xml:space="preserve"> in terms of subsection (3) </w:t>
      </w:r>
      <w:r w:rsidRPr="000B4172">
        <w:rPr>
          <w:rFonts w:ascii="Arial" w:hAnsi="Arial" w:cs="Arial"/>
          <w:color w:val="000000" w:themeColor="text1"/>
          <w:sz w:val="20"/>
          <w:szCs w:val="20"/>
          <w:u w:val="single"/>
          <w:lang w:val="en-GB" w:eastAsia="en-US"/>
        </w:rPr>
        <w:t>does not divest a co-holder of his or her parental responsibilities and rights</w:t>
      </w:r>
      <w:r w:rsidRPr="000B4172">
        <w:rPr>
          <w:rFonts w:ascii="Arial" w:hAnsi="Arial" w:cs="Arial"/>
          <w:color w:val="000000" w:themeColor="text1"/>
          <w:sz w:val="20"/>
          <w:szCs w:val="20"/>
          <w:lang w:val="en-GB" w:eastAsia="en-US"/>
        </w:rPr>
        <w:t xml:space="preserve"> and that </w:t>
      </w:r>
      <w:r w:rsidRPr="000B4172">
        <w:rPr>
          <w:rFonts w:ascii="Arial" w:hAnsi="Arial" w:cs="Arial"/>
          <w:color w:val="000000" w:themeColor="text1"/>
          <w:sz w:val="20"/>
          <w:szCs w:val="20"/>
          <w:u w:val="single"/>
          <w:lang w:val="en-GB" w:eastAsia="en-US"/>
        </w:rPr>
        <w:t>co-holder remains competent and liable to exercise those responsibilities and rights</w:t>
      </w:r>
      <w:r w:rsidRPr="000B4172">
        <w:rPr>
          <w:rFonts w:ascii="Arial" w:hAnsi="Arial" w:cs="Arial"/>
          <w:color w:val="000000" w:themeColor="text1"/>
          <w:sz w:val="20"/>
          <w:szCs w:val="20"/>
          <w:lang w:val="en-GB" w:eastAsia="en-US"/>
        </w:rPr>
        <w:t>.</w:t>
      </w:r>
    </w:p>
    <w:p w14:paraId="269FB805" w14:textId="77777777" w:rsidR="000B4172" w:rsidRDefault="000B4172" w:rsidP="000679CF">
      <w:pPr>
        <w:spacing w:after="200" w:line="480" w:lineRule="auto"/>
        <w:rPr>
          <w:rFonts w:asciiTheme="minorHAnsi" w:eastAsiaTheme="minorHAnsi" w:hAnsiTheme="minorHAnsi" w:cstheme="minorHAnsi"/>
          <w:bCs/>
          <w:lang w:eastAsia="en-US"/>
        </w:rPr>
      </w:pPr>
    </w:p>
    <w:p w14:paraId="2BB0AD56" w14:textId="25D63AEF" w:rsidR="000679CF" w:rsidRDefault="000E2ECC" w:rsidP="000679CF">
      <w:pPr>
        <w:spacing w:after="200" w:line="480" w:lineRule="auto"/>
        <w:rPr>
          <w:rFonts w:asciiTheme="minorHAnsi" w:eastAsiaTheme="minorHAnsi" w:hAnsiTheme="minorHAnsi" w:cstheme="minorHAnsi"/>
          <w:bCs/>
          <w:lang w:eastAsia="en-US"/>
        </w:rPr>
      </w:pPr>
      <w:r w:rsidRPr="000E2ECC">
        <w:rPr>
          <w:rFonts w:asciiTheme="minorHAnsi" w:eastAsiaTheme="minorHAnsi" w:hAnsiTheme="minorHAnsi" w:cstheme="minorHAnsi"/>
          <w:bCs/>
          <w:lang w:eastAsia="en-US"/>
        </w:rPr>
        <w:t xml:space="preserve">A child’s best interest are detailed as per </w:t>
      </w:r>
      <w:r w:rsidRPr="000E2ECC">
        <w:rPr>
          <w:rFonts w:asciiTheme="minorHAnsi" w:eastAsiaTheme="minorHAnsi" w:hAnsiTheme="minorHAnsi" w:cstheme="minorHAnsi"/>
          <w:bCs/>
          <w:i/>
          <w:iCs/>
          <w:lang w:eastAsia="en-US"/>
        </w:rPr>
        <w:t>S.7 CA</w:t>
      </w:r>
      <w:r w:rsidRPr="000E2ECC">
        <w:rPr>
          <w:rFonts w:asciiTheme="minorHAnsi" w:eastAsiaTheme="minorHAnsi" w:hAnsiTheme="minorHAnsi" w:cstheme="minorHAnsi"/>
          <w:bCs/>
          <w:lang w:eastAsia="en-US"/>
        </w:rPr>
        <w:t xml:space="preserve"> which are well-catered for in the children’s present custody and care arrangement unless the contrary is proven. The court has a duty to secure and ensure stability in the lives of children.</w:t>
      </w:r>
      <w:r w:rsidR="00B71783">
        <w:rPr>
          <w:rFonts w:asciiTheme="minorHAnsi" w:eastAsiaTheme="minorHAnsi" w:hAnsiTheme="minorHAnsi" w:cstheme="minorHAnsi"/>
          <w:bCs/>
          <w:lang w:eastAsia="en-US"/>
        </w:rPr>
        <w:t xml:space="preserve"> Further to the above, S.26 CA does not apply to the Respondent but serves to bolster this court’s view of the matter,</w:t>
      </w:r>
    </w:p>
    <w:p w14:paraId="148B2EBB" w14:textId="77777777" w:rsidR="00B71783" w:rsidRPr="00B71783" w:rsidRDefault="00B71783" w:rsidP="00B71783">
      <w:pPr>
        <w:spacing w:line="360" w:lineRule="auto"/>
        <w:ind w:left="1134" w:hanging="567"/>
        <w:jc w:val="both"/>
        <w:rPr>
          <w:rFonts w:ascii="Arial" w:hAnsi="Arial" w:cs="Arial"/>
          <w:b/>
          <w:color w:val="000000" w:themeColor="text1"/>
          <w:sz w:val="20"/>
          <w:szCs w:val="20"/>
          <w:lang w:val="en-GB" w:eastAsia="en-US"/>
        </w:rPr>
      </w:pPr>
      <w:r w:rsidRPr="00B71783">
        <w:rPr>
          <w:rFonts w:ascii="Arial" w:hAnsi="Arial" w:cs="Arial"/>
          <w:b/>
          <w:color w:val="000000" w:themeColor="text1"/>
          <w:sz w:val="20"/>
          <w:szCs w:val="20"/>
          <w:lang w:val="en-GB" w:eastAsia="en-US"/>
        </w:rPr>
        <w:lastRenderedPageBreak/>
        <w:t>26.</w:t>
      </w:r>
      <w:r w:rsidRPr="00B71783">
        <w:rPr>
          <w:rFonts w:ascii="Arial" w:hAnsi="Arial" w:cs="Arial"/>
          <w:b/>
          <w:color w:val="000000" w:themeColor="text1"/>
          <w:sz w:val="20"/>
          <w:szCs w:val="20"/>
          <w:lang w:val="en-GB" w:eastAsia="en-US"/>
        </w:rPr>
        <w:tab/>
        <w:t>Person claiming paternity</w:t>
      </w:r>
    </w:p>
    <w:p w14:paraId="3A8C6A04" w14:textId="77777777" w:rsidR="00B71783" w:rsidRPr="00B71783" w:rsidRDefault="00B71783" w:rsidP="00B71783">
      <w:pPr>
        <w:spacing w:line="360" w:lineRule="auto"/>
        <w:ind w:left="567"/>
        <w:jc w:val="both"/>
        <w:rPr>
          <w:rFonts w:ascii="Arial" w:hAnsi="Arial" w:cs="Arial"/>
          <w:color w:val="000000" w:themeColor="text1"/>
          <w:sz w:val="20"/>
          <w:szCs w:val="20"/>
          <w:lang w:val="en-GB" w:eastAsia="en-US"/>
        </w:rPr>
      </w:pPr>
    </w:p>
    <w:p w14:paraId="37CBEA21" w14:textId="77777777" w:rsidR="00B71783" w:rsidRPr="00B71783" w:rsidRDefault="00B71783" w:rsidP="00B71783">
      <w:pPr>
        <w:spacing w:line="360" w:lineRule="auto"/>
        <w:ind w:left="1134" w:hanging="567"/>
        <w:jc w:val="both"/>
        <w:rPr>
          <w:rFonts w:ascii="Arial" w:hAnsi="Arial" w:cs="Arial"/>
          <w:color w:val="000000" w:themeColor="text1"/>
          <w:sz w:val="20"/>
          <w:szCs w:val="20"/>
          <w:lang w:val="en-GB" w:eastAsia="en-US"/>
        </w:rPr>
      </w:pPr>
      <w:r w:rsidRPr="00B71783">
        <w:rPr>
          <w:rFonts w:ascii="Arial" w:hAnsi="Arial" w:cs="Arial"/>
          <w:color w:val="000000" w:themeColor="text1"/>
          <w:sz w:val="20"/>
          <w:szCs w:val="20"/>
          <w:lang w:val="en-GB" w:eastAsia="en-US"/>
        </w:rPr>
        <w:t>(1)</w:t>
      </w:r>
      <w:r w:rsidRPr="00B71783">
        <w:rPr>
          <w:rFonts w:ascii="Arial" w:hAnsi="Arial" w:cs="Arial"/>
          <w:color w:val="000000" w:themeColor="text1"/>
          <w:sz w:val="20"/>
          <w:szCs w:val="20"/>
          <w:lang w:val="en-GB" w:eastAsia="en-US"/>
        </w:rPr>
        <w:tab/>
        <w:t>A person who is not married to the mother of a child and who is or claims to be the biological father of the child may—</w:t>
      </w:r>
    </w:p>
    <w:p w14:paraId="24E1C331" w14:textId="77777777" w:rsidR="00B71783" w:rsidRPr="00B71783" w:rsidRDefault="00B71783" w:rsidP="00B71783">
      <w:pPr>
        <w:spacing w:line="360" w:lineRule="auto"/>
        <w:ind w:left="567"/>
        <w:jc w:val="both"/>
        <w:rPr>
          <w:rFonts w:ascii="Arial" w:hAnsi="Arial" w:cs="Arial"/>
          <w:color w:val="000000" w:themeColor="text1"/>
          <w:sz w:val="20"/>
          <w:szCs w:val="20"/>
          <w:lang w:val="en-GB" w:eastAsia="en-US"/>
        </w:rPr>
      </w:pPr>
    </w:p>
    <w:p w14:paraId="0409E20E" w14:textId="77777777" w:rsidR="00B71783" w:rsidRPr="00B71783" w:rsidRDefault="00B71783" w:rsidP="00B71783">
      <w:pPr>
        <w:tabs>
          <w:tab w:val="left" w:pos="1134"/>
        </w:tabs>
        <w:spacing w:line="360" w:lineRule="auto"/>
        <w:ind w:left="1701" w:hanging="567"/>
        <w:jc w:val="both"/>
        <w:rPr>
          <w:rFonts w:ascii="Arial" w:hAnsi="Arial" w:cs="Arial"/>
          <w:color w:val="000000" w:themeColor="text1"/>
          <w:sz w:val="20"/>
          <w:szCs w:val="20"/>
          <w:lang w:val="en-GB" w:eastAsia="en-US"/>
        </w:rPr>
      </w:pPr>
      <w:r w:rsidRPr="00B71783">
        <w:rPr>
          <w:rFonts w:ascii="Arial" w:hAnsi="Arial" w:cs="Arial"/>
          <w:color w:val="000000" w:themeColor="text1"/>
          <w:sz w:val="20"/>
          <w:szCs w:val="20"/>
          <w:lang w:val="en-GB" w:eastAsia="en-US"/>
        </w:rPr>
        <w:t>(a)</w:t>
      </w:r>
      <w:r w:rsidRPr="00B71783">
        <w:rPr>
          <w:rFonts w:ascii="Arial" w:hAnsi="Arial" w:cs="Arial"/>
          <w:color w:val="000000" w:themeColor="text1"/>
          <w:sz w:val="20"/>
          <w:szCs w:val="20"/>
          <w:lang w:val="en-GB" w:eastAsia="en-US"/>
        </w:rPr>
        <w:tab/>
      </w:r>
      <w:r w:rsidRPr="00B71783">
        <w:rPr>
          <w:rFonts w:ascii="Arial" w:hAnsi="Arial" w:cs="Arial"/>
          <w:color w:val="000000" w:themeColor="text1"/>
          <w:sz w:val="20"/>
          <w:szCs w:val="20"/>
          <w:u w:val="single"/>
          <w:lang w:val="en-GB" w:eastAsia="en-US"/>
        </w:rPr>
        <w:t>apply for an amendment to be effected to the registration of birth of the child</w:t>
      </w:r>
      <w:r w:rsidRPr="00B71783">
        <w:rPr>
          <w:rFonts w:ascii="Arial" w:hAnsi="Arial" w:cs="Arial"/>
          <w:color w:val="000000" w:themeColor="text1"/>
          <w:sz w:val="20"/>
          <w:szCs w:val="20"/>
          <w:lang w:val="en-GB" w:eastAsia="en-US"/>
        </w:rPr>
        <w:t xml:space="preserve"> in terms of section 11(4) of the Births and Deaths Registration Act, 1992 (Act 51 of 1992), </w:t>
      </w:r>
      <w:r w:rsidRPr="00B71783">
        <w:rPr>
          <w:rFonts w:ascii="Arial" w:hAnsi="Arial" w:cs="Arial"/>
          <w:color w:val="000000" w:themeColor="text1"/>
          <w:sz w:val="20"/>
          <w:szCs w:val="20"/>
          <w:u w:val="single"/>
          <w:lang w:val="en-GB" w:eastAsia="en-US"/>
        </w:rPr>
        <w:t>identifying him as the father of the child, if the mother consents</w:t>
      </w:r>
      <w:r w:rsidRPr="00B71783">
        <w:rPr>
          <w:rFonts w:ascii="Arial" w:hAnsi="Arial" w:cs="Arial"/>
          <w:color w:val="000000" w:themeColor="text1"/>
          <w:sz w:val="20"/>
          <w:szCs w:val="20"/>
          <w:lang w:val="en-GB" w:eastAsia="en-US"/>
        </w:rPr>
        <w:t xml:space="preserve"> to such amendment; or</w:t>
      </w:r>
    </w:p>
    <w:p w14:paraId="0A31EFDB" w14:textId="77777777" w:rsidR="00B71783" w:rsidRPr="00B71783" w:rsidRDefault="00B71783" w:rsidP="00B71783">
      <w:pPr>
        <w:spacing w:line="360" w:lineRule="auto"/>
        <w:ind w:left="567"/>
        <w:jc w:val="both"/>
        <w:rPr>
          <w:rFonts w:ascii="Arial" w:hAnsi="Arial" w:cs="Arial"/>
          <w:color w:val="000000" w:themeColor="text1"/>
          <w:sz w:val="20"/>
          <w:szCs w:val="20"/>
          <w:lang w:val="en-GB" w:eastAsia="en-US"/>
        </w:rPr>
      </w:pPr>
    </w:p>
    <w:p w14:paraId="2A671737" w14:textId="598B7FA1" w:rsidR="00B71783" w:rsidRPr="000B4172" w:rsidRDefault="00B71783" w:rsidP="000B4172">
      <w:pPr>
        <w:spacing w:after="200" w:line="480" w:lineRule="auto"/>
        <w:ind w:left="567"/>
        <w:rPr>
          <w:rFonts w:ascii="Arial" w:hAnsi="Arial" w:cs="Arial"/>
          <w:color w:val="000000" w:themeColor="text1"/>
          <w:sz w:val="20"/>
          <w:szCs w:val="20"/>
          <w:lang w:val="en-GB" w:eastAsia="en-US"/>
        </w:rPr>
      </w:pPr>
      <w:r w:rsidRPr="00B71783">
        <w:rPr>
          <w:rFonts w:ascii="Arial" w:hAnsi="Arial" w:cs="Arial"/>
          <w:color w:val="000000" w:themeColor="text1"/>
          <w:sz w:val="20"/>
          <w:szCs w:val="20"/>
          <w:lang w:val="en-GB" w:eastAsia="en-US"/>
        </w:rPr>
        <w:t>(b)</w:t>
      </w:r>
      <w:r w:rsidRPr="00B71783">
        <w:rPr>
          <w:rFonts w:ascii="Arial" w:hAnsi="Arial" w:cs="Arial"/>
          <w:color w:val="000000" w:themeColor="text1"/>
          <w:sz w:val="20"/>
          <w:szCs w:val="20"/>
          <w:lang w:val="en-GB" w:eastAsia="en-US"/>
        </w:rPr>
        <w:tab/>
      </w:r>
      <w:r w:rsidRPr="000B4172">
        <w:rPr>
          <w:rFonts w:ascii="Arial" w:hAnsi="Arial" w:cs="Arial"/>
          <w:color w:val="000000" w:themeColor="text1"/>
          <w:sz w:val="20"/>
          <w:szCs w:val="20"/>
          <w:u w:val="single"/>
          <w:lang w:val="en-GB" w:eastAsia="en-US"/>
        </w:rPr>
        <w:t>apply to a court for an order confirming his paternity of the child</w:t>
      </w:r>
      <w:r w:rsidR="000B4172" w:rsidRPr="000B4172">
        <w:rPr>
          <w:rFonts w:ascii="Arial" w:hAnsi="Arial" w:cs="Arial"/>
          <w:color w:val="000000" w:themeColor="text1"/>
          <w:sz w:val="20"/>
          <w:szCs w:val="20"/>
          <w:lang w:val="en-GB" w:eastAsia="en-US"/>
        </w:rPr>
        <w:t>…</w:t>
      </w:r>
      <w:r w:rsidR="000B4172">
        <w:rPr>
          <w:rFonts w:ascii="Arial" w:hAnsi="Arial" w:cs="Arial"/>
          <w:color w:val="000000" w:themeColor="text1"/>
          <w:sz w:val="20"/>
          <w:szCs w:val="20"/>
          <w:lang w:val="en-GB" w:eastAsia="en-US"/>
        </w:rPr>
        <w:t xml:space="preserve"> (Emphasis added)</w:t>
      </w:r>
    </w:p>
    <w:p w14:paraId="47D6AEA1" w14:textId="2484D4F7" w:rsidR="000679CF" w:rsidRDefault="000679CF" w:rsidP="00B71783">
      <w:pPr>
        <w:spacing w:after="200" w:line="480" w:lineRule="auto"/>
        <w:ind w:left="567"/>
        <w:rPr>
          <w:rFonts w:asciiTheme="minorHAnsi" w:eastAsiaTheme="minorHAnsi" w:hAnsiTheme="minorHAnsi" w:cstheme="minorHAnsi"/>
          <w:lang w:eastAsia="en-US"/>
        </w:rPr>
      </w:pPr>
      <w:r>
        <w:rPr>
          <w:rFonts w:asciiTheme="minorHAnsi" w:eastAsiaTheme="minorHAnsi" w:hAnsiTheme="minorHAnsi" w:cstheme="minorHAnsi"/>
          <w:lang w:eastAsia="en-US"/>
        </w:rPr>
        <w:t>[33] I indicated earlier in this judgment that I will address the issue of jurisdiction. Both parties argued from the perspective of S.28 MCA</w:t>
      </w:r>
      <w:r>
        <w:rPr>
          <w:rStyle w:val="FootnoteReference"/>
          <w:rFonts w:asciiTheme="minorHAnsi" w:eastAsiaTheme="minorHAnsi" w:hAnsiTheme="minorHAnsi" w:cstheme="minorHAnsi"/>
          <w:lang w:eastAsia="en-US"/>
        </w:rPr>
        <w:footnoteReference w:id="18"/>
      </w:r>
      <w:r>
        <w:rPr>
          <w:rFonts w:asciiTheme="minorHAnsi" w:eastAsiaTheme="minorHAnsi" w:hAnsiTheme="minorHAnsi" w:cstheme="minorHAnsi"/>
          <w:lang w:eastAsia="en-US"/>
        </w:rPr>
        <w:t xml:space="preserve">  although Mr Mengo replied to a question by the court that it was S.28 CA. This is clearly in error. The CA provides as follow,</w:t>
      </w:r>
    </w:p>
    <w:p w14:paraId="72FEBCCC" w14:textId="11F63354" w:rsidR="000679CF" w:rsidRDefault="000679CF" w:rsidP="000679CF">
      <w:pPr>
        <w:ind w:left="567" w:hanging="567"/>
        <w:rPr>
          <w:rFonts w:asciiTheme="minorHAnsi" w:eastAsiaTheme="minorHAnsi" w:hAnsiTheme="minorHAnsi" w:cstheme="minorHAnsi"/>
          <w:lang w:eastAsia="en-US"/>
        </w:rPr>
      </w:pPr>
    </w:p>
    <w:p w14:paraId="5BB844AB" w14:textId="5EF4DE3D" w:rsidR="000679CF" w:rsidRPr="000679CF" w:rsidRDefault="000679CF" w:rsidP="00166D19">
      <w:pPr>
        <w:ind w:left="1134" w:hanging="567"/>
        <w:rPr>
          <w:rFonts w:ascii="Arial" w:hAnsi="Arial" w:cs="Arial"/>
          <w:b/>
          <w:color w:val="000000" w:themeColor="text1"/>
          <w:sz w:val="20"/>
          <w:szCs w:val="20"/>
          <w:lang w:val="en-GB" w:eastAsia="en-US"/>
        </w:rPr>
      </w:pPr>
      <w:r w:rsidRPr="000679CF">
        <w:rPr>
          <w:rFonts w:ascii="Arial" w:hAnsi="Arial" w:cs="Arial"/>
          <w:b/>
          <w:color w:val="000000" w:themeColor="text1"/>
          <w:sz w:val="20"/>
          <w:szCs w:val="20"/>
          <w:lang w:val="en-GB" w:eastAsia="en-US"/>
        </w:rPr>
        <w:t>44.</w:t>
      </w:r>
      <w:r w:rsidRPr="000679CF">
        <w:rPr>
          <w:rFonts w:ascii="Arial" w:hAnsi="Arial" w:cs="Arial"/>
          <w:b/>
          <w:color w:val="000000" w:themeColor="text1"/>
          <w:sz w:val="20"/>
          <w:szCs w:val="20"/>
          <w:lang w:val="en-GB" w:eastAsia="en-US"/>
        </w:rPr>
        <w:tab/>
        <w:t>Geographical area of jurisdiction of children’s court</w:t>
      </w:r>
    </w:p>
    <w:p w14:paraId="472F2EEF" w14:textId="77777777" w:rsidR="000679CF" w:rsidRPr="000679CF" w:rsidRDefault="000679CF" w:rsidP="00166D19">
      <w:pPr>
        <w:spacing w:line="360" w:lineRule="auto"/>
        <w:ind w:left="567"/>
        <w:jc w:val="both"/>
        <w:rPr>
          <w:rFonts w:ascii="Arial" w:hAnsi="Arial" w:cs="Arial"/>
          <w:color w:val="000000" w:themeColor="text1"/>
          <w:sz w:val="20"/>
          <w:szCs w:val="20"/>
          <w:lang w:val="en-GB" w:eastAsia="en-US"/>
        </w:rPr>
      </w:pPr>
    </w:p>
    <w:p w14:paraId="7828665B" w14:textId="77777777" w:rsidR="000679CF" w:rsidRPr="000679CF" w:rsidRDefault="000679CF" w:rsidP="00166D19">
      <w:pPr>
        <w:spacing w:line="360" w:lineRule="auto"/>
        <w:ind w:left="1134" w:hanging="567"/>
        <w:jc w:val="both"/>
        <w:rPr>
          <w:rFonts w:ascii="Arial" w:hAnsi="Arial" w:cs="Arial"/>
          <w:color w:val="000000" w:themeColor="text1"/>
          <w:sz w:val="20"/>
          <w:szCs w:val="20"/>
          <w:lang w:val="en-GB" w:eastAsia="en-US"/>
        </w:rPr>
      </w:pPr>
      <w:r w:rsidRPr="000679CF">
        <w:rPr>
          <w:rFonts w:ascii="Arial" w:hAnsi="Arial" w:cs="Arial"/>
          <w:color w:val="000000" w:themeColor="text1"/>
          <w:sz w:val="20"/>
          <w:szCs w:val="20"/>
          <w:lang w:val="en-GB" w:eastAsia="en-US"/>
        </w:rPr>
        <w:t>(1)</w:t>
      </w:r>
      <w:r w:rsidRPr="000679CF">
        <w:rPr>
          <w:rFonts w:ascii="Arial" w:hAnsi="Arial" w:cs="Arial"/>
          <w:color w:val="000000" w:themeColor="text1"/>
          <w:sz w:val="20"/>
          <w:szCs w:val="20"/>
          <w:lang w:val="en-GB" w:eastAsia="en-US"/>
        </w:rPr>
        <w:tab/>
        <w:t xml:space="preserve">The </w:t>
      </w:r>
      <w:r w:rsidRPr="000679CF">
        <w:rPr>
          <w:rFonts w:ascii="Arial" w:hAnsi="Arial" w:cs="Arial"/>
          <w:color w:val="000000" w:themeColor="text1"/>
          <w:sz w:val="20"/>
          <w:szCs w:val="20"/>
          <w:u w:val="single"/>
          <w:lang w:val="en-GB" w:eastAsia="en-US"/>
        </w:rPr>
        <w:t>children’s court that has jurisdiction</w:t>
      </w:r>
      <w:r w:rsidRPr="000679CF">
        <w:rPr>
          <w:rFonts w:ascii="Arial" w:hAnsi="Arial" w:cs="Arial"/>
          <w:color w:val="000000" w:themeColor="text1"/>
          <w:sz w:val="20"/>
          <w:szCs w:val="20"/>
          <w:lang w:val="en-GB" w:eastAsia="en-US"/>
        </w:rPr>
        <w:t xml:space="preserve"> in a particular matter is—</w:t>
      </w:r>
    </w:p>
    <w:p w14:paraId="40EBA19A" w14:textId="77777777" w:rsidR="000679CF" w:rsidRPr="000679CF" w:rsidRDefault="000679CF" w:rsidP="00166D19">
      <w:pPr>
        <w:spacing w:line="360" w:lineRule="auto"/>
        <w:ind w:left="567"/>
        <w:jc w:val="both"/>
        <w:rPr>
          <w:rFonts w:ascii="Arial" w:hAnsi="Arial" w:cs="Arial"/>
          <w:color w:val="000000" w:themeColor="text1"/>
          <w:sz w:val="20"/>
          <w:szCs w:val="20"/>
          <w:lang w:val="en-GB" w:eastAsia="en-US"/>
        </w:rPr>
      </w:pPr>
    </w:p>
    <w:p w14:paraId="2AA36431" w14:textId="77777777" w:rsidR="000679CF" w:rsidRPr="000679CF" w:rsidRDefault="000679CF" w:rsidP="00166D19">
      <w:pPr>
        <w:tabs>
          <w:tab w:val="left" w:pos="1134"/>
        </w:tabs>
        <w:spacing w:line="360" w:lineRule="auto"/>
        <w:ind w:left="1701" w:hanging="567"/>
        <w:jc w:val="both"/>
        <w:rPr>
          <w:rFonts w:ascii="Arial" w:hAnsi="Arial" w:cs="Arial"/>
          <w:color w:val="000000" w:themeColor="text1"/>
          <w:sz w:val="20"/>
          <w:szCs w:val="20"/>
          <w:lang w:val="en-GB" w:eastAsia="en-US"/>
        </w:rPr>
      </w:pPr>
      <w:r w:rsidRPr="000679CF">
        <w:rPr>
          <w:rFonts w:ascii="Arial" w:hAnsi="Arial" w:cs="Arial"/>
          <w:color w:val="000000" w:themeColor="text1"/>
          <w:sz w:val="20"/>
          <w:szCs w:val="20"/>
          <w:lang w:val="en-GB" w:eastAsia="en-US"/>
        </w:rPr>
        <w:t>(a)</w:t>
      </w:r>
      <w:r w:rsidRPr="000679CF">
        <w:rPr>
          <w:rFonts w:ascii="Arial" w:hAnsi="Arial" w:cs="Arial"/>
          <w:color w:val="000000" w:themeColor="text1"/>
          <w:sz w:val="20"/>
          <w:szCs w:val="20"/>
          <w:lang w:val="en-GB" w:eastAsia="en-US"/>
        </w:rPr>
        <w:tab/>
        <w:t xml:space="preserve">the court of the </w:t>
      </w:r>
      <w:r w:rsidRPr="000679CF">
        <w:rPr>
          <w:rFonts w:ascii="Arial" w:hAnsi="Arial" w:cs="Arial"/>
          <w:color w:val="000000" w:themeColor="text1"/>
          <w:sz w:val="20"/>
          <w:szCs w:val="20"/>
          <w:u w:val="single"/>
          <w:lang w:val="en-GB" w:eastAsia="en-US"/>
        </w:rPr>
        <w:t>area in which the child involved</w:t>
      </w:r>
      <w:r w:rsidRPr="000679CF">
        <w:rPr>
          <w:rFonts w:ascii="Arial" w:hAnsi="Arial" w:cs="Arial"/>
          <w:color w:val="000000" w:themeColor="text1"/>
          <w:sz w:val="20"/>
          <w:szCs w:val="20"/>
          <w:lang w:val="en-GB" w:eastAsia="en-US"/>
        </w:rPr>
        <w:t xml:space="preserve"> in the matter is </w:t>
      </w:r>
      <w:r w:rsidRPr="000679CF">
        <w:rPr>
          <w:rFonts w:ascii="Arial" w:hAnsi="Arial" w:cs="Arial"/>
          <w:color w:val="000000" w:themeColor="text1"/>
          <w:sz w:val="20"/>
          <w:szCs w:val="20"/>
          <w:u w:val="single"/>
          <w:lang w:val="en-GB" w:eastAsia="en-US"/>
        </w:rPr>
        <w:t>ordinarily resident</w:t>
      </w:r>
      <w:r w:rsidRPr="000679CF">
        <w:rPr>
          <w:rFonts w:ascii="Arial" w:hAnsi="Arial" w:cs="Arial"/>
          <w:color w:val="000000" w:themeColor="text1"/>
          <w:sz w:val="20"/>
          <w:szCs w:val="20"/>
          <w:lang w:val="en-GB" w:eastAsia="en-US"/>
        </w:rPr>
        <w:t>; or</w:t>
      </w:r>
    </w:p>
    <w:p w14:paraId="59477E12" w14:textId="77777777" w:rsidR="000679CF" w:rsidRPr="000679CF" w:rsidRDefault="000679CF" w:rsidP="00166D19">
      <w:pPr>
        <w:spacing w:line="360" w:lineRule="auto"/>
        <w:ind w:left="567"/>
        <w:jc w:val="both"/>
        <w:rPr>
          <w:rFonts w:ascii="Arial" w:hAnsi="Arial" w:cs="Arial"/>
          <w:color w:val="000000" w:themeColor="text1"/>
          <w:sz w:val="20"/>
          <w:szCs w:val="20"/>
          <w:lang w:val="en-GB" w:eastAsia="en-US"/>
        </w:rPr>
      </w:pPr>
    </w:p>
    <w:p w14:paraId="26BC6350" w14:textId="079823A1" w:rsidR="000679CF" w:rsidRPr="000679CF" w:rsidRDefault="000679CF" w:rsidP="00166D19">
      <w:pPr>
        <w:tabs>
          <w:tab w:val="left" w:pos="1134"/>
        </w:tabs>
        <w:spacing w:line="360" w:lineRule="auto"/>
        <w:ind w:left="1701" w:hanging="567"/>
        <w:jc w:val="both"/>
        <w:rPr>
          <w:rFonts w:ascii="Arial" w:hAnsi="Arial" w:cs="Arial"/>
          <w:color w:val="000000" w:themeColor="text1"/>
          <w:sz w:val="20"/>
          <w:szCs w:val="20"/>
          <w:lang w:val="en-GB" w:eastAsia="en-US"/>
        </w:rPr>
      </w:pPr>
      <w:r w:rsidRPr="000679CF">
        <w:rPr>
          <w:rFonts w:ascii="Arial" w:hAnsi="Arial" w:cs="Arial"/>
          <w:color w:val="000000" w:themeColor="text1"/>
          <w:sz w:val="20"/>
          <w:szCs w:val="20"/>
          <w:lang w:val="en-GB" w:eastAsia="en-US"/>
        </w:rPr>
        <w:t>(b)</w:t>
      </w:r>
      <w:r w:rsidRPr="000679CF">
        <w:rPr>
          <w:rFonts w:ascii="Arial" w:hAnsi="Arial" w:cs="Arial"/>
          <w:color w:val="000000" w:themeColor="text1"/>
          <w:sz w:val="20"/>
          <w:szCs w:val="20"/>
          <w:lang w:val="en-GB" w:eastAsia="en-US"/>
        </w:rPr>
        <w:tab/>
      </w:r>
      <w:r w:rsidR="00166D19">
        <w:rPr>
          <w:rFonts w:ascii="Arial" w:hAnsi="Arial" w:cs="Arial"/>
          <w:color w:val="000000" w:themeColor="text1"/>
          <w:sz w:val="20"/>
          <w:szCs w:val="20"/>
          <w:lang w:val="en-GB" w:eastAsia="en-US"/>
        </w:rPr>
        <w:t>…</w:t>
      </w:r>
    </w:p>
    <w:p w14:paraId="243AC7AF" w14:textId="77777777" w:rsidR="000679CF" w:rsidRPr="000679CF" w:rsidRDefault="000679CF" w:rsidP="00166D19">
      <w:pPr>
        <w:spacing w:line="360" w:lineRule="auto"/>
        <w:ind w:left="567"/>
        <w:jc w:val="both"/>
        <w:rPr>
          <w:rFonts w:ascii="Arial" w:hAnsi="Arial" w:cs="Arial"/>
          <w:color w:val="000000" w:themeColor="text1"/>
          <w:sz w:val="20"/>
          <w:szCs w:val="20"/>
          <w:lang w:val="en-GB" w:eastAsia="en-US"/>
        </w:rPr>
      </w:pPr>
    </w:p>
    <w:p w14:paraId="7E0B5352" w14:textId="18B6E745" w:rsidR="000679CF" w:rsidRDefault="000679CF" w:rsidP="00166D19">
      <w:pPr>
        <w:spacing w:line="360" w:lineRule="auto"/>
        <w:ind w:left="1134" w:hanging="567"/>
        <w:jc w:val="both"/>
        <w:rPr>
          <w:rFonts w:ascii="Arial" w:hAnsi="Arial" w:cs="Arial"/>
          <w:color w:val="000000" w:themeColor="text1"/>
          <w:sz w:val="20"/>
          <w:szCs w:val="20"/>
          <w:lang w:val="en-GB" w:eastAsia="en-US"/>
        </w:rPr>
      </w:pPr>
      <w:r w:rsidRPr="000679CF">
        <w:rPr>
          <w:rFonts w:ascii="Arial" w:hAnsi="Arial" w:cs="Arial"/>
          <w:color w:val="000000" w:themeColor="text1"/>
          <w:sz w:val="20"/>
          <w:szCs w:val="20"/>
          <w:lang w:val="en-GB" w:eastAsia="en-US"/>
        </w:rPr>
        <w:t>(2)</w:t>
      </w:r>
      <w:r w:rsidRPr="000679CF">
        <w:rPr>
          <w:rFonts w:ascii="Arial" w:hAnsi="Arial" w:cs="Arial"/>
          <w:color w:val="000000" w:themeColor="text1"/>
          <w:sz w:val="20"/>
          <w:szCs w:val="20"/>
          <w:lang w:val="en-GB" w:eastAsia="en-US"/>
        </w:rPr>
        <w:tab/>
      </w:r>
      <w:r w:rsidR="00166D19">
        <w:rPr>
          <w:rFonts w:ascii="Arial" w:hAnsi="Arial" w:cs="Arial"/>
          <w:color w:val="000000" w:themeColor="text1"/>
          <w:sz w:val="20"/>
          <w:szCs w:val="20"/>
          <w:lang w:val="en-GB" w:eastAsia="en-US"/>
        </w:rPr>
        <w:t>… (Emphasis added as relevant.)</w:t>
      </w:r>
    </w:p>
    <w:p w14:paraId="3A37116B" w14:textId="77777777" w:rsidR="00166D19" w:rsidRDefault="00166D19" w:rsidP="000679CF">
      <w:pPr>
        <w:spacing w:line="360" w:lineRule="auto"/>
        <w:ind w:left="567" w:hanging="567"/>
        <w:jc w:val="both"/>
        <w:rPr>
          <w:rFonts w:ascii="Arial" w:hAnsi="Arial" w:cs="Arial"/>
          <w:color w:val="000000" w:themeColor="text1"/>
          <w:sz w:val="20"/>
          <w:szCs w:val="20"/>
          <w:lang w:val="en-GB" w:eastAsia="en-US"/>
        </w:rPr>
      </w:pPr>
    </w:p>
    <w:p w14:paraId="5785949E" w14:textId="77777777" w:rsidR="00166D19" w:rsidRDefault="00166D19" w:rsidP="00166D19">
      <w:pPr>
        <w:spacing w:line="360" w:lineRule="auto"/>
        <w:ind w:left="567" w:hanging="567"/>
        <w:jc w:val="both"/>
        <w:rPr>
          <w:rFonts w:ascii="Arial" w:hAnsi="Arial" w:cs="Arial"/>
          <w:color w:val="000000" w:themeColor="text1"/>
          <w:sz w:val="20"/>
          <w:szCs w:val="20"/>
          <w:lang w:val="en-GB" w:eastAsia="en-US"/>
        </w:rPr>
      </w:pPr>
    </w:p>
    <w:p w14:paraId="1CEA7FBA" w14:textId="5E54F31B" w:rsidR="00D13301" w:rsidRDefault="00D13301" w:rsidP="00166D19">
      <w:pPr>
        <w:spacing w:after="200" w:line="480" w:lineRule="auto"/>
        <w:rPr>
          <w:rFonts w:asciiTheme="minorHAnsi" w:eastAsiaTheme="minorHAnsi" w:hAnsiTheme="minorHAnsi" w:cstheme="minorHAnsi"/>
          <w:lang w:val="en-GB" w:eastAsia="en-US"/>
        </w:rPr>
      </w:pPr>
      <w:r>
        <w:rPr>
          <w:rFonts w:asciiTheme="minorHAnsi" w:eastAsiaTheme="minorHAnsi" w:hAnsiTheme="minorHAnsi" w:cstheme="minorHAnsi"/>
          <w:lang w:val="en-GB" w:eastAsia="en-US"/>
        </w:rPr>
        <w:t>The Act further states as follows,</w:t>
      </w:r>
    </w:p>
    <w:p w14:paraId="07E99692" w14:textId="77777777" w:rsidR="00D13301" w:rsidRPr="00D13301" w:rsidRDefault="00D13301" w:rsidP="000B4172">
      <w:pPr>
        <w:tabs>
          <w:tab w:val="left" w:pos="0"/>
        </w:tabs>
        <w:spacing w:line="360" w:lineRule="auto"/>
        <w:ind w:left="1134" w:hanging="567"/>
        <w:jc w:val="both"/>
        <w:rPr>
          <w:rFonts w:ascii="Arial" w:hAnsi="Arial" w:cs="Arial"/>
          <w:b/>
          <w:color w:val="000000" w:themeColor="text1"/>
          <w:sz w:val="20"/>
          <w:szCs w:val="20"/>
          <w:lang w:val="en-GB" w:eastAsia="en-US"/>
        </w:rPr>
      </w:pPr>
      <w:r w:rsidRPr="00D13301">
        <w:rPr>
          <w:rFonts w:ascii="Arial" w:hAnsi="Arial" w:cs="Arial"/>
          <w:b/>
          <w:color w:val="000000" w:themeColor="text1"/>
          <w:sz w:val="20"/>
          <w:szCs w:val="20"/>
          <w:lang w:val="en-GB" w:eastAsia="en-US"/>
        </w:rPr>
        <w:t>29.</w:t>
      </w:r>
      <w:r w:rsidRPr="00D13301">
        <w:rPr>
          <w:rFonts w:ascii="Arial" w:hAnsi="Arial" w:cs="Arial"/>
          <w:b/>
          <w:color w:val="000000" w:themeColor="text1"/>
          <w:sz w:val="20"/>
          <w:szCs w:val="20"/>
          <w:lang w:val="en-GB" w:eastAsia="en-US"/>
        </w:rPr>
        <w:tab/>
        <w:t>Court proceedings</w:t>
      </w:r>
    </w:p>
    <w:p w14:paraId="27421045" w14:textId="77777777" w:rsidR="00D13301" w:rsidRPr="00D13301" w:rsidRDefault="00D13301" w:rsidP="000B4172">
      <w:pPr>
        <w:spacing w:line="360" w:lineRule="auto"/>
        <w:ind w:left="567"/>
        <w:jc w:val="both"/>
        <w:rPr>
          <w:rFonts w:ascii="Arial" w:hAnsi="Arial" w:cs="Arial"/>
          <w:color w:val="000000" w:themeColor="text1"/>
          <w:sz w:val="20"/>
          <w:szCs w:val="20"/>
          <w:lang w:val="en-GB" w:eastAsia="en-US"/>
        </w:rPr>
      </w:pPr>
    </w:p>
    <w:p w14:paraId="2C76E782" w14:textId="77777777" w:rsidR="00D13301" w:rsidRPr="00D13301" w:rsidRDefault="00D13301" w:rsidP="000B4172">
      <w:pPr>
        <w:spacing w:line="360" w:lineRule="auto"/>
        <w:ind w:left="1134" w:hanging="567"/>
        <w:jc w:val="both"/>
        <w:rPr>
          <w:rFonts w:ascii="Arial" w:hAnsi="Arial" w:cs="Arial"/>
          <w:color w:val="000000" w:themeColor="text1"/>
          <w:sz w:val="20"/>
          <w:szCs w:val="20"/>
          <w:lang w:val="en-GB" w:eastAsia="en-US"/>
        </w:rPr>
      </w:pPr>
      <w:r w:rsidRPr="00D13301">
        <w:rPr>
          <w:rFonts w:ascii="Arial" w:hAnsi="Arial" w:cs="Arial"/>
          <w:color w:val="000000" w:themeColor="text1"/>
          <w:sz w:val="20"/>
          <w:szCs w:val="20"/>
          <w:lang w:val="en-GB" w:eastAsia="en-US"/>
        </w:rPr>
        <w:t>(1)</w:t>
      </w:r>
      <w:r w:rsidRPr="00D13301">
        <w:rPr>
          <w:rFonts w:ascii="Arial" w:hAnsi="Arial" w:cs="Arial"/>
          <w:color w:val="000000" w:themeColor="text1"/>
          <w:sz w:val="20"/>
          <w:szCs w:val="20"/>
          <w:lang w:val="en-GB" w:eastAsia="en-US"/>
        </w:rPr>
        <w:tab/>
        <w:t xml:space="preserve">An </w:t>
      </w:r>
      <w:r w:rsidRPr="00D13301">
        <w:rPr>
          <w:rFonts w:ascii="Arial" w:hAnsi="Arial" w:cs="Arial"/>
          <w:color w:val="000000" w:themeColor="text1"/>
          <w:sz w:val="20"/>
          <w:szCs w:val="20"/>
          <w:u w:val="single"/>
          <w:lang w:val="en-GB" w:eastAsia="en-US"/>
        </w:rPr>
        <w:t>application in terms of section</w:t>
      </w:r>
      <w:r w:rsidRPr="00D13301">
        <w:rPr>
          <w:rFonts w:ascii="Arial" w:hAnsi="Arial" w:cs="Arial"/>
          <w:color w:val="000000" w:themeColor="text1"/>
          <w:sz w:val="20"/>
          <w:szCs w:val="20"/>
          <w:lang w:val="en-GB" w:eastAsia="en-US"/>
        </w:rPr>
        <w:t xml:space="preserve"> 22(4)(b), </w:t>
      </w:r>
      <w:r w:rsidRPr="00D13301">
        <w:rPr>
          <w:rFonts w:ascii="Arial" w:hAnsi="Arial" w:cs="Arial"/>
          <w:color w:val="000000" w:themeColor="text1"/>
          <w:sz w:val="20"/>
          <w:szCs w:val="20"/>
          <w:u w:val="single"/>
          <w:lang w:val="en-GB" w:eastAsia="en-US"/>
        </w:rPr>
        <w:t>23</w:t>
      </w:r>
      <w:r w:rsidRPr="00D13301">
        <w:rPr>
          <w:rFonts w:ascii="Arial" w:hAnsi="Arial" w:cs="Arial"/>
          <w:color w:val="000000" w:themeColor="text1"/>
          <w:sz w:val="20"/>
          <w:szCs w:val="20"/>
          <w:lang w:val="en-GB" w:eastAsia="en-US"/>
        </w:rPr>
        <w:t xml:space="preserve">, 24, 26(1)(b) or 28 </w:t>
      </w:r>
      <w:r w:rsidRPr="00D13301">
        <w:rPr>
          <w:rFonts w:ascii="Arial" w:hAnsi="Arial" w:cs="Arial"/>
          <w:color w:val="000000" w:themeColor="text1"/>
          <w:sz w:val="20"/>
          <w:szCs w:val="20"/>
          <w:u w:val="single"/>
          <w:lang w:val="en-GB" w:eastAsia="en-US"/>
        </w:rPr>
        <w:t>may be brought before</w:t>
      </w:r>
      <w:r w:rsidRPr="00D13301">
        <w:rPr>
          <w:rFonts w:ascii="Arial" w:hAnsi="Arial" w:cs="Arial"/>
          <w:color w:val="000000" w:themeColor="text1"/>
          <w:sz w:val="20"/>
          <w:szCs w:val="20"/>
          <w:lang w:val="en-GB" w:eastAsia="en-US"/>
        </w:rPr>
        <w:t xml:space="preserve"> the High Court, a divorce court in a divorce matter or </w:t>
      </w:r>
      <w:r w:rsidRPr="00D13301">
        <w:rPr>
          <w:rFonts w:ascii="Arial" w:hAnsi="Arial" w:cs="Arial"/>
          <w:color w:val="000000" w:themeColor="text1"/>
          <w:sz w:val="20"/>
          <w:szCs w:val="20"/>
          <w:u w:val="single"/>
          <w:lang w:val="en-GB" w:eastAsia="en-US"/>
        </w:rPr>
        <w:t>a children’s court</w:t>
      </w:r>
      <w:r w:rsidRPr="00D13301">
        <w:rPr>
          <w:rFonts w:ascii="Arial" w:hAnsi="Arial" w:cs="Arial"/>
          <w:color w:val="000000" w:themeColor="text1"/>
          <w:sz w:val="20"/>
          <w:szCs w:val="20"/>
          <w:lang w:val="en-GB" w:eastAsia="en-US"/>
        </w:rPr>
        <w:t xml:space="preserve">, as the case may be, </w:t>
      </w:r>
      <w:r w:rsidRPr="00D13301">
        <w:rPr>
          <w:rFonts w:ascii="Arial" w:hAnsi="Arial" w:cs="Arial"/>
          <w:color w:val="000000" w:themeColor="text1"/>
          <w:sz w:val="20"/>
          <w:szCs w:val="20"/>
          <w:u w:val="single"/>
          <w:lang w:val="en-GB" w:eastAsia="en-US"/>
        </w:rPr>
        <w:t>within whose area of jurisdiction the child concerned is ordinarily resident.</w:t>
      </w:r>
    </w:p>
    <w:p w14:paraId="7BFF4E96" w14:textId="57AC2DBC" w:rsidR="00D13301" w:rsidRPr="000B4172" w:rsidRDefault="00D13301" w:rsidP="000B4172">
      <w:pPr>
        <w:spacing w:after="200" w:line="480" w:lineRule="auto"/>
        <w:ind w:left="567"/>
        <w:rPr>
          <w:rFonts w:asciiTheme="minorHAnsi" w:eastAsiaTheme="minorHAnsi" w:hAnsiTheme="minorHAnsi" w:cstheme="minorHAnsi"/>
          <w:lang w:val="en-GB" w:eastAsia="en-US"/>
        </w:rPr>
      </w:pPr>
      <w:r w:rsidRPr="004C6558">
        <w:rPr>
          <w:rFonts w:cs="Arial"/>
          <w:color w:val="000000" w:themeColor="text1"/>
          <w:szCs w:val="20"/>
        </w:rPr>
        <w:lastRenderedPageBreak/>
        <w:t>(3</w:t>
      </w:r>
      <w:r>
        <w:rPr>
          <w:rFonts w:cs="Arial"/>
          <w:color w:val="000000" w:themeColor="text1"/>
          <w:szCs w:val="20"/>
        </w:rPr>
        <w:t>)</w:t>
      </w:r>
      <w:r>
        <w:rPr>
          <w:rFonts w:cs="Arial"/>
          <w:color w:val="000000" w:themeColor="text1"/>
          <w:szCs w:val="20"/>
        </w:rPr>
        <w:tab/>
      </w:r>
      <w:r w:rsidRPr="000B4172">
        <w:rPr>
          <w:rFonts w:cs="Arial"/>
          <w:color w:val="000000" w:themeColor="text1"/>
          <w:szCs w:val="20"/>
          <w:u w:val="single"/>
        </w:rPr>
        <w:t>The court</w:t>
      </w:r>
      <w:r w:rsidRPr="004C6558">
        <w:rPr>
          <w:rFonts w:cs="Arial"/>
          <w:color w:val="000000" w:themeColor="text1"/>
          <w:szCs w:val="20"/>
        </w:rPr>
        <w:t xml:space="preserve"> hearing an application contemplated in subsection (1) </w:t>
      </w:r>
      <w:r w:rsidRPr="000B4172">
        <w:rPr>
          <w:rFonts w:cs="Arial"/>
          <w:color w:val="000000" w:themeColor="text1"/>
          <w:szCs w:val="20"/>
          <w:u w:val="single"/>
        </w:rPr>
        <w:t>may grant the application unconditionally or on such conditions as it may determine,</w:t>
      </w:r>
      <w:r w:rsidRPr="004C6558">
        <w:rPr>
          <w:rFonts w:cs="Arial"/>
          <w:color w:val="000000" w:themeColor="text1"/>
          <w:szCs w:val="20"/>
        </w:rPr>
        <w:t xml:space="preserve"> </w:t>
      </w:r>
      <w:r w:rsidRPr="000B4172">
        <w:rPr>
          <w:rFonts w:cs="Arial"/>
          <w:b/>
          <w:color w:val="000000" w:themeColor="text1"/>
          <w:szCs w:val="20"/>
        </w:rPr>
        <w:t>or</w:t>
      </w:r>
      <w:r w:rsidRPr="004C6558">
        <w:rPr>
          <w:rFonts w:cs="Arial"/>
          <w:color w:val="000000" w:themeColor="text1"/>
          <w:szCs w:val="20"/>
        </w:rPr>
        <w:t xml:space="preserve"> may </w:t>
      </w:r>
      <w:r w:rsidRPr="000B4172">
        <w:rPr>
          <w:rFonts w:cs="Arial"/>
          <w:color w:val="000000" w:themeColor="text1"/>
          <w:szCs w:val="20"/>
          <w:u w:val="single"/>
        </w:rPr>
        <w:t>refuse the application</w:t>
      </w:r>
      <w:r w:rsidRPr="004C6558">
        <w:rPr>
          <w:rFonts w:cs="Arial"/>
          <w:color w:val="000000" w:themeColor="text1"/>
          <w:szCs w:val="20"/>
        </w:rPr>
        <w:t xml:space="preserve">, but an </w:t>
      </w:r>
      <w:r w:rsidRPr="000B4172">
        <w:rPr>
          <w:rFonts w:cs="Arial"/>
          <w:color w:val="000000" w:themeColor="text1"/>
          <w:szCs w:val="20"/>
          <w:u w:val="single"/>
        </w:rPr>
        <w:t>application may be granted</w:t>
      </w:r>
      <w:r w:rsidRPr="004C6558">
        <w:rPr>
          <w:rFonts w:cs="Arial"/>
          <w:color w:val="000000" w:themeColor="text1"/>
          <w:szCs w:val="20"/>
        </w:rPr>
        <w:t xml:space="preserve"> </w:t>
      </w:r>
      <w:r w:rsidRPr="000B4172">
        <w:rPr>
          <w:rFonts w:cs="Arial"/>
          <w:b/>
          <w:color w:val="000000" w:themeColor="text1"/>
          <w:szCs w:val="20"/>
        </w:rPr>
        <w:t>only</w:t>
      </w:r>
      <w:r w:rsidRPr="004C6558">
        <w:rPr>
          <w:rFonts w:cs="Arial"/>
          <w:color w:val="000000" w:themeColor="text1"/>
          <w:szCs w:val="20"/>
        </w:rPr>
        <w:t xml:space="preserve"> </w:t>
      </w:r>
      <w:r w:rsidRPr="000B4172">
        <w:rPr>
          <w:rFonts w:cs="Arial"/>
          <w:color w:val="000000" w:themeColor="text1"/>
          <w:szCs w:val="20"/>
          <w:u w:val="single"/>
        </w:rPr>
        <w:t>if it is in the best interests of the child</w:t>
      </w:r>
      <w:r w:rsidR="000B4172">
        <w:rPr>
          <w:rFonts w:cs="Arial"/>
          <w:color w:val="000000" w:themeColor="text1"/>
          <w:szCs w:val="20"/>
        </w:rPr>
        <w:t>.</w:t>
      </w:r>
    </w:p>
    <w:p w14:paraId="2F93CC25" w14:textId="27D9A44B" w:rsidR="00CF77D7" w:rsidRDefault="00CF77D7" w:rsidP="00166D19">
      <w:pPr>
        <w:spacing w:after="200" w:line="480" w:lineRule="auto"/>
        <w:rPr>
          <w:rFonts w:asciiTheme="minorHAnsi" w:eastAsiaTheme="minorHAnsi" w:hAnsiTheme="minorHAnsi" w:cstheme="minorHAnsi"/>
          <w:lang w:val="en-GB" w:eastAsia="en-US"/>
        </w:rPr>
      </w:pPr>
      <w:r>
        <w:rPr>
          <w:rFonts w:asciiTheme="minorHAnsi" w:eastAsiaTheme="minorHAnsi" w:hAnsiTheme="minorHAnsi" w:cstheme="minorHAnsi"/>
          <w:lang w:val="en-GB" w:eastAsia="en-US"/>
        </w:rPr>
        <w:t>It is worthwhile to refer to the reasoning of the court in SH v MLH</w:t>
      </w:r>
      <w:r>
        <w:rPr>
          <w:rStyle w:val="FootnoteReference"/>
          <w:rFonts w:asciiTheme="minorHAnsi" w:eastAsiaTheme="minorHAnsi" w:hAnsiTheme="minorHAnsi" w:cstheme="minorHAnsi"/>
          <w:lang w:val="en-GB" w:eastAsia="en-US"/>
        </w:rPr>
        <w:footnoteReference w:id="19"/>
      </w:r>
      <w:r>
        <w:rPr>
          <w:rFonts w:asciiTheme="minorHAnsi" w:eastAsiaTheme="minorHAnsi" w:hAnsiTheme="minorHAnsi" w:cstheme="minorHAnsi"/>
          <w:lang w:val="en-GB" w:eastAsia="en-US"/>
        </w:rPr>
        <w:t xml:space="preserve"> as regards to jurisdiction, factors to be considered in determining the best interests of the child and the process of court. I have dealt with these during the course of this judgment and following below.</w:t>
      </w:r>
    </w:p>
    <w:p w14:paraId="23603A64" w14:textId="6B32BDC3" w:rsidR="00166D19" w:rsidRDefault="00166D19" w:rsidP="00166D19">
      <w:pPr>
        <w:spacing w:after="200" w:line="480" w:lineRule="auto"/>
        <w:rPr>
          <w:rFonts w:asciiTheme="minorHAnsi" w:eastAsiaTheme="minorHAnsi" w:hAnsiTheme="minorHAnsi" w:cstheme="minorHAnsi"/>
          <w:lang w:val="en-GB" w:eastAsia="en-US"/>
        </w:rPr>
      </w:pPr>
      <w:r w:rsidRPr="00166D19">
        <w:rPr>
          <w:rFonts w:asciiTheme="minorHAnsi" w:eastAsiaTheme="minorHAnsi" w:hAnsiTheme="minorHAnsi" w:cstheme="minorHAnsi"/>
          <w:lang w:val="en-GB" w:eastAsia="en-US"/>
        </w:rPr>
        <w:t>Applicant attempted to bring the matter within the jurisdiction of this court by stating that the cause of action arose within the jurisdiction of this court</w:t>
      </w:r>
      <w:r>
        <w:rPr>
          <w:rFonts w:asciiTheme="minorHAnsi" w:eastAsiaTheme="minorHAnsi" w:hAnsiTheme="minorHAnsi" w:cstheme="minorHAnsi"/>
          <w:lang w:val="en-GB" w:eastAsia="en-US"/>
        </w:rPr>
        <w:t xml:space="preserve">. Respondent held that neither party is residing within the jurisdiction of the court and thus the court does not have jurisdiction in the matter. The primary question is whether the children are ordinarily residing within the area of jurisdiction of this court. It should be abundantly clear that that is not the case. The section further states that this is the case in respect of any matter involving the children. This court simply does not have the requisite jurisdiction to entertain the application and the relief sought by the Applicant. If I were to assume that this court may have had jurisdiction in the interim relief sought, which I do not, this court will not have jurisdiction in respect of the </w:t>
      </w:r>
      <w:r w:rsidR="008662A8">
        <w:rPr>
          <w:rFonts w:asciiTheme="minorHAnsi" w:eastAsiaTheme="minorHAnsi" w:hAnsiTheme="minorHAnsi" w:cstheme="minorHAnsi"/>
          <w:lang w:val="en-GB" w:eastAsia="en-US"/>
        </w:rPr>
        <w:t>final relief Applicant is seeking. The application stands to be dismissed on this point alone.</w:t>
      </w:r>
    </w:p>
    <w:p w14:paraId="4C50B060" w14:textId="55A3A5A7" w:rsidR="008662A8" w:rsidRPr="00166D19" w:rsidRDefault="008662A8" w:rsidP="00166D19">
      <w:pPr>
        <w:spacing w:after="200" w:line="480" w:lineRule="auto"/>
        <w:rPr>
          <w:rFonts w:asciiTheme="minorHAnsi" w:eastAsiaTheme="minorHAnsi" w:hAnsiTheme="minorHAnsi" w:cstheme="minorHAnsi"/>
          <w:lang w:val="en-GB" w:eastAsia="en-US"/>
        </w:rPr>
      </w:pPr>
      <w:r>
        <w:rPr>
          <w:rFonts w:asciiTheme="minorHAnsi" w:eastAsiaTheme="minorHAnsi" w:hAnsiTheme="minorHAnsi" w:cstheme="minorHAnsi"/>
          <w:lang w:val="en-GB" w:eastAsia="en-US"/>
        </w:rPr>
        <w:t xml:space="preserve">[34] Considering the evidence placed before this court I am not convinced that Applicant has succeeded in proving to this court that her parental responsibilities and rights were infringed to the extent that it warrants the relief sought, if at all. Applicant has enjoyed the </w:t>
      </w:r>
      <w:r>
        <w:rPr>
          <w:rFonts w:asciiTheme="minorHAnsi" w:eastAsiaTheme="minorHAnsi" w:hAnsiTheme="minorHAnsi" w:cstheme="minorHAnsi"/>
          <w:lang w:val="en-GB" w:eastAsia="en-US"/>
        </w:rPr>
        <w:lastRenderedPageBreak/>
        <w:t xml:space="preserve">exercise of her rights throughout except during a tempestuous period from 14 December 2025 which resulted in a disrupted and limited access by Applicant but not a pro-longed blanket refusal. In the end, the court’s interim order restored to some extent the position as it was before. It was Mr Mengo who argued that when a party does not come before court with clean hands, such party should be divested of any relief and be dealt with punitively. The reality is that Applicant did not come before this court with the required honesty </w:t>
      </w:r>
      <w:r w:rsidR="00F24275">
        <w:rPr>
          <w:rFonts w:asciiTheme="minorHAnsi" w:eastAsiaTheme="minorHAnsi" w:hAnsiTheme="minorHAnsi" w:cstheme="minorHAnsi"/>
          <w:lang w:val="en-GB" w:eastAsia="en-US"/>
        </w:rPr>
        <w:t xml:space="preserve">and being frank as is expected. The very principle commented on by Mr Mengo finds application in respect of his own client in the present matter as already pointed out during the course of this judgment. Applicant has not persuaded this court that there are sufficient grounds in granting the relief as sought by her – substituting the interim order dated 31 December 2025. In addition, Applicant has not proven the requisite urgency </w:t>
      </w:r>
      <w:r w:rsidR="005177A2">
        <w:rPr>
          <w:rFonts w:asciiTheme="minorHAnsi" w:eastAsiaTheme="minorHAnsi" w:hAnsiTheme="minorHAnsi" w:cstheme="minorHAnsi"/>
          <w:lang w:val="en-GB" w:eastAsia="en-US"/>
        </w:rPr>
        <w:t xml:space="preserve">that </w:t>
      </w:r>
      <w:r w:rsidR="00F24275">
        <w:rPr>
          <w:rFonts w:asciiTheme="minorHAnsi" w:eastAsiaTheme="minorHAnsi" w:hAnsiTheme="minorHAnsi" w:cstheme="minorHAnsi"/>
          <w:lang w:val="en-GB" w:eastAsia="en-US"/>
        </w:rPr>
        <w:t>an application of this nature deserve</w:t>
      </w:r>
      <w:r w:rsidR="005177A2">
        <w:rPr>
          <w:rFonts w:asciiTheme="minorHAnsi" w:eastAsiaTheme="minorHAnsi" w:hAnsiTheme="minorHAnsi" w:cstheme="minorHAnsi"/>
          <w:lang w:val="en-GB" w:eastAsia="en-US"/>
        </w:rPr>
        <w:t>s</w:t>
      </w:r>
      <w:r w:rsidR="00F24275">
        <w:rPr>
          <w:rFonts w:asciiTheme="minorHAnsi" w:eastAsiaTheme="minorHAnsi" w:hAnsiTheme="minorHAnsi" w:cstheme="minorHAnsi"/>
          <w:lang w:val="en-GB" w:eastAsia="en-US"/>
        </w:rPr>
        <w:t>. Having said that, courts will act in the interests of children with urgency as it deserves, and an infringement as that present herein requires a court to intervene to ensure all rights are being respected and given effect. It is then clear that the application stands to be dismissed on the merits as well.</w:t>
      </w:r>
      <w:r>
        <w:rPr>
          <w:rFonts w:asciiTheme="minorHAnsi" w:eastAsiaTheme="minorHAnsi" w:hAnsiTheme="minorHAnsi" w:cstheme="minorHAnsi"/>
          <w:lang w:val="en-GB" w:eastAsia="en-US"/>
        </w:rPr>
        <w:t xml:space="preserve"> </w:t>
      </w:r>
    </w:p>
    <w:p w14:paraId="01B51311" w14:textId="4116F266" w:rsidR="00CD3F41" w:rsidRDefault="00F24275" w:rsidP="000679CF">
      <w:pPr>
        <w:spacing w:after="200" w:line="480" w:lineRule="auto"/>
        <w:rPr>
          <w:rFonts w:asciiTheme="minorHAnsi" w:eastAsiaTheme="minorHAnsi" w:hAnsiTheme="minorHAnsi" w:cstheme="minorHAnsi"/>
          <w:lang w:eastAsia="en-US"/>
        </w:rPr>
      </w:pPr>
      <w:r>
        <w:rPr>
          <w:rFonts w:asciiTheme="minorHAnsi" w:eastAsiaTheme="minorHAnsi" w:hAnsiTheme="minorHAnsi" w:cstheme="minorHAnsi"/>
          <w:lang w:eastAsia="en-US"/>
        </w:rPr>
        <w:t>[35] The court needs to consider the issue of costs. Applicant has argued f</w:t>
      </w:r>
      <w:r w:rsidR="005177A2">
        <w:rPr>
          <w:rFonts w:asciiTheme="minorHAnsi" w:eastAsiaTheme="minorHAnsi" w:hAnsiTheme="minorHAnsi" w:cstheme="minorHAnsi"/>
          <w:lang w:eastAsia="en-US"/>
        </w:rPr>
        <w:t>o</w:t>
      </w:r>
      <w:r>
        <w:rPr>
          <w:rFonts w:asciiTheme="minorHAnsi" w:eastAsiaTheme="minorHAnsi" w:hAnsiTheme="minorHAnsi" w:cstheme="minorHAnsi"/>
          <w:lang w:eastAsia="en-US"/>
        </w:rPr>
        <w:t xml:space="preserve">r punitive costs against Respondent. The Respondent indicated that although it may have been moved to request a punitive cost order, considering the circumstances of Applicant and not having the desire to over-burden Applicant financially, costs in the normal cause are applied for. The application ought not to have been brought before this court. The court takes into consideration the </w:t>
      </w:r>
      <w:r w:rsidR="00CD3F41">
        <w:rPr>
          <w:rFonts w:asciiTheme="minorHAnsi" w:eastAsiaTheme="minorHAnsi" w:hAnsiTheme="minorHAnsi" w:cstheme="minorHAnsi"/>
          <w:lang w:eastAsia="en-US"/>
        </w:rPr>
        <w:t xml:space="preserve">predicament faced by Applicant and the absolute absurdity to cause her to apply for interim relief at the Children’s Court Johannesburg (whichever relevant court in such region). The Applicant has been the author of her misfortune initially which triggered a </w:t>
      </w:r>
      <w:r w:rsidR="00CD3F41">
        <w:rPr>
          <w:rFonts w:asciiTheme="minorHAnsi" w:eastAsiaTheme="minorHAnsi" w:hAnsiTheme="minorHAnsi" w:cstheme="minorHAnsi"/>
          <w:lang w:eastAsia="en-US"/>
        </w:rPr>
        <w:lastRenderedPageBreak/>
        <w:t>negative response from the Respondent. Neither party’s actions can be condoned. The dishonesty in bringing the application has also been considered.</w:t>
      </w:r>
    </w:p>
    <w:p w14:paraId="064D0407" w14:textId="77777777" w:rsidR="001F4732" w:rsidRDefault="00CD3F41" w:rsidP="000679CF">
      <w:pPr>
        <w:spacing w:after="200" w:line="480" w:lineRule="auto"/>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[36] </w:t>
      </w:r>
      <w:r w:rsidR="001F4732">
        <w:rPr>
          <w:rFonts w:asciiTheme="minorHAnsi" w:eastAsiaTheme="minorHAnsi" w:hAnsiTheme="minorHAnsi" w:cstheme="minorHAnsi"/>
          <w:lang w:eastAsia="en-US"/>
        </w:rPr>
        <w:t>Consequently this court orders as follow:</w:t>
      </w:r>
    </w:p>
    <w:p w14:paraId="4D64F044" w14:textId="7E81727C" w:rsidR="00064B4D" w:rsidRDefault="001F4732" w:rsidP="001F4732">
      <w:pPr>
        <w:pStyle w:val="ListParagraph"/>
        <w:numPr>
          <w:ilvl w:val="0"/>
          <w:numId w:val="1"/>
        </w:numPr>
        <w:spacing w:after="200" w:line="480" w:lineRule="auto"/>
        <w:rPr>
          <w:rFonts w:asciiTheme="minorHAnsi" w:eastAsiaTheme="minorHAnsi" w:hAnsiTheme="minorHAnsi" w:cstheme="minorHAnsi"/>
          <w:lang w:eastAsia="en-US"/>
        </w:rPr>
      </w:pPr>
      <w:r>
        <w:rPr>
          <w:rFonts w:asciiTheme="minorHAnsi" w:eastAsiaTheme="minorHAnsi" w:hAnsiTheme="minorHAnsi" w:cstheme="minorHAnsi"/>
          <w:lang w:eastAsia="en-US"/>
        </w:rPr>
        <w:t>In terms of S.46(2) CA the application by Applicant is dismissed;</w:t>
      </w:r>
    </w:p>
    <w:p w14:paraId="18EA2708" w14:textId="4245640E" w:rsidR="001F4732" w:rsidRDefault="001F4732" w:rsidP="001F4732">
      <w:pPr>
        <w:pStyle w:val="ListParagraph"/>
        <w:numPr>
          <w:ilvl w:val="0"/>
          <w:numId w:val="1"/>
        </w:numPr>
        <w:spacing w:after="200" w:line="480" w:lineRule="auto"/>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The status quo ante the interim </w:t>
      </w:r>
      <w:r w:rsidR="005177A2">
        <w:rPr>
          <w:rFonts w:asciiTheme="minorHAnsi" w:eastAsiaTheme="minorHAnsi" w:hAnsiTheme="minorHAnsi" w:cstheme="minorHAnsi"/>
          <w:lang w:eastAsia="en-US"/>
        </w:rPr>
        <w:t>order</w:t>
      </w:r>
      <w:r>
        <w:rPr>
          <w:rFonts w:asciiTheme="minorHAnsi" w:eastAsiaTheme="minorHAnsi" w:hAnsiTheme="minorHAnsi" w:cstheme="minorHAnsi"/>
          <w:lang w:eastAsia="en-US"/>
        </w:rPr>
        <w:t xml:space="preserve"> is restored with primary residence, custody and care of the two minor children restored in the person of the Respondent with immediate effect</w:t>
      </w:r>
      <w:r w:rsidR="005177A2">
        <w:rPr>
          <w:rFonts w:asciiTheme="minorHAnsi" w:eastAsiaTheme="minorHAnsi" w:hAnsiTheme="minorHAnsi" w:cstheme="minorHAnsi"/>
          <w:lang w:eastAsia="en-US"/>
        </w:rPr>
        <w:t>. The interim order dated 31 December 2025 be and is hereby set aside;</w:t>
      </w:r>
      <w:bookmarkStart w:id="1" w:name="_GoBack"/>
      <w:bookmarkEnd w:id="1"/>
    </w:p>
    <w:p w14:paraId="0CBFAE83" w14:textId="77777777" w:rsidR="00E345B8" w:rsidRDefault="00E345B8" w:rsidP="001F4732">
      <w:pPr>
        <w:pStyle w:val="ListParagraph"/>
        <w:numPr>
          <w:ilvl w:val="0"/>
          <w:numId w:val="1"/>
        </w:numPr>
        <w:spacing w:after="200" w:line="480" w:lineRule="auto"/>
        <w:rPr>
          <w:rFonts w:asciiTheme="minorHAnsi" w:eastAsiaTheme="minorHAnsi" w:hAnsiTheme="minorHAnsi" w:cstheme="minorHAnsi"/>
          <w:lang w:eastAsia="en-US"/>
        </w:rPr>
      </w:pPr>
      <w:r>
        <w:rPr>
          <w:rFonts w:asciiTheme="minorHAnsi" w:eastAsiaTheme="minorHAnsi" w:hAnsiTheme="minorHAnsi" w:cstheme="minorHAnsi"/>
          <w:lang w:eastAsia="en-US"/>
        </w:rPr>
        <w:t>Respondent shall at all times give effect to the rights of Applicant as contained in S.23 CA and other provisions that may address the issues of Applicant exercising her rights in terms of the legislation and has a corresponding duty to facilitate the exercise of these right;</w:t>
      </w:r>
    </w:p>
    <w:p w14:paraId="29586D33" w14:textId="31F90401" w:rsidR="005805FA" w:rsidRDefault="00E345B8" w:rsidP="001F4732">
      <w:pPr>
        <w:pStyle w:val="ListParagraph"/>
        <w:numPr>
          <w:ilvl w:val="0"/>
          <w:numId w:val="1"/>
        </w:numPr>
        <w:spacing w:after="200" w:line="480" w:lineRule="auto"/>
        <w:rPr>
          <w:rFonts w:asciiTheme="minorHAnsi" w:eastAsiaTheme="minorHAnsi" w:hAnsiTheme="minorHAnsi" w:cstheme="minorHAnsi"/>
          <w:lang w:eastAsia="en-US"/>
        </w:rPr>
      </w:pPr>
      <w:r>
        <w:rPr>
          <w:rFonts w:asciiTheme="minorHAnsi" w:eastAsiaTheme="minorHAnsi" w:hAnsiTheme="minorHAnsi" w:cstheme="minorHAnsi"/>
          <w:lang w:eastAsia="en-US"/>
        </w:rPr>
        <w:t>The court doe</w:t>
      </w:r>
      <w:r w:rsidR="005805FA">
        <w:rPr>
          <w:rFonts w:asciiTheme="minorHAnsi" w:eastAsiaTheme="minorHAnsi" w:hAnsiTheme="minorHAnsi" w:cstheme="minorHAnsi"/>
          <w:lang w:eastAsia="en-US"/>
        </w:rPr>
        <w:t>s</w:t>
      </w:r>
      <w:r>
        <w:rPr>
          <w:rFonts w:asciiTheme="minorHAnsi" w:eastAsiaTheme="minorHAnsi" w:hAnsiTheme="minorHAnsi" w:cstheme="minorHAnsi"/>
          <w:lang w:eastAsia="en-US"/>
        </w:rPr>
        <w:t xml:space="preserve"> not make any </w:t>
      </w:r>
      <w:r w:rsidR="005805FA">
        <w:rPr>
          <w:rFonts w:asciiTheme="minorHAnsi" w:eastAsiaTheme="minorHAnsi" w:hAnsiTheme="minorHAnsi" w:cstheme="minorHAnsi"/>
          <w:lang w:eastAsia="en-US"/>
        </w:rPr>
        <w:t>order as to costs with each party responsible for his or her own costs</w:t>
      </w:r>
      <w:r w:rsidR="00B71783">
        <w:rPr>
          <w:rFonts w:asciiTheme="minorHAnsi" w:eastAsiaTheme="minorHAnsi" w:hAnsiTheme="minorHAnsi" w:cstheme="minorHAnsi"/>
          <w:lang w:eastAsia="en-US"/>
        </w:rPr>
        <w:t>, despite the sentiments expressed in this judgment.</w:t>
      </w:r>
    </w:p>
    <w:p w14:paraId="558EF479" w14:textId="77777777" w:rsidR="00CF77D7" w:rsidRDefault="00CF77D7" w:rsidP="005805FA">
      <w:pPr>
        <w:spacing w:before="240"/>
        <w:rPr>
          <w:rFonts w:asciiTheme="minorHAnsi" w:eastAsiaTheme="minorHAnsi" w:hAnsiTheme="minorHAnsi" w:cstheme="minorHAnsi"/>
          <w:lang w:eastAsia="en-US"/>
        </w:rPr>
      </w:pPr>
    </w:p>
    <w:p w14:paraId="77149085" w14:textId="5847CCF7" w:rsidR="00D755EF" w:rsidRPr="002F189F" w:rsidRDefault="00D755EF" w:rsidP="005805FA">
      <w:pPr>
        <w:spacing w:before="240"/>
        <w:rPr>
          <w:rFonts w:asciiTheme="minorHAnsi" w:eastAsiaTheme="minorHAnsi" w:hAnsiTheme="minorHAnsi" w:cstheme="minorHAnsi"/>
          <w:lang w:eastAsia="en-US"/>
        </w:rPr>
      </w:pPr>
      <w:r w:rsidRPr="002F189F">
        <w:rPr>
          <w:rFonts w:asciiTheme="minorHAnsi" w:eastAsiaTheme="minorHAnsi" w:hAnsiTheme="minorHAnsi" w:cstheme="minorHAnsi"/>
          <w:lang w:eastAsia="en-US"/>
        </w:rPr>
        <w:t>WAYNE MULLER</w:t>
      </w:r>
    </w:p>
    <w:p w14:paraId="6AF935D3" w14:textId="77777777" w:rsidR="00D755EF" w:rsidRPr="002F189F" w:rsidRDefault="00D755EF" w:rsidP="005805FA">
      <w:pPr>
        <w:rPr>
          <w:rFonts w:asciiTheme="minorHAnsi" w:eastAsiaTheme="minorHAnsi" w:hAnsiTheme="minorHAnsi" w:cstheme="minorHAnsi"/>
          <w:lang w:eastAsia="en-US"/>
        </w:rPr>
      </w:pPr>
      <w:r w:rsidRPr="002F189F">
        <w:rPr>
          <w:rFonts w:asciiTheme="minorHAnsi" w:eastAsiaTheme="minorHAnsi" w:hAnsiTheme="minorHAnsi" w:cstheme="minorHAnsi"/>
          <w:lang w:eastAsia="en-US"/>
        </w:rPr>
        <w:t>MAGISTRATE</w:t>
      </w:r>
    </w:p>
    <w:p w14:paraId="7592D510" w14:textId="5F6877D9" w:rsidR="00D755EF" w:rsidRDefault="005805FA" w:rsidP="00D755EF">
      <w:pPr>
        <w:rPr>
          <w:rFonts w:asciiTheme="minorHAnsi" w:eastAsiaTheme="minorHAnsi" w:hAnsiTheme="minorHAnsi" w:cstheme="minorHAnsi"/>
          <w:lang w:eastAsia="en-US"/>
        </w:rPr>
      </w:pPr>
      <w:r>
        <w:rPr>
          <w:rFonts w:asciiTheme="minorHAnsi" w:eastAsiaTheme="minorHAnsi" w:hAnsiTheme="minorHAnsi" w:cstheme="minorHAnsi"/>
          <w:lang w:eastAsia="en-US"/>
        </w:rPr>
        <w:t>CONTROL: CRIMINAL- and CIVIL COURTS</w:t>
      </w:r>
    </w:p>
    <w:p w14:paraId="0A6D3687" w14:textId="3304409F" w:rsidR="005805FA" w:rsidRPr="002F189F" w:rsidRDefault="005805FA" w:rsidP="00D755EF">
      <w:pPr>
        <w:rPr>
          <w:rFonts w:asciiTheme="minorHAnsi" w:eastAsiaTheme="minorHAnsi" w:hAnsiTheme="minorHAnsi" w:cstheme="minorHAnsi"/>
          <w:lang w:eastAsia="en-US"/>
        </w:rPr>
      </w:pPr>
      <w:r>
        <w:rPr>
          <w:rFonts w:asciiTheme="minorHAnsi" w:eastAsiaTheme="minorHAnsi" w:hAnsiTheme="minorHAnsi" w:cstheme="minorHAnsi"/>
          <w:lang w:eastAsia="en-US"/>
        </w:rPr>
        <w:t>MTHATHA</w:t>
      </w:r>
    </w:p>
    <w:p w14:paraId="3974D3F1" w14:textId="68FE97CD" w:rsidR="00D755EF" w:rsidRPr="005805FA" w:rsidRDefault="00D755EF">
      <w:pPr>
        <w:rPr>
          <w:rFonts w:asciiTheme="minorHAnsi" w:eastAsiaTheme="minorHAnsi" w:hAnsiTheme="minorHAnsi" w:cstheme="minorHAnsi"/>
          <w:b/>
          <w:lang w:eastAsia="en-US"/>
        </w:rPr>
      </w:pPr>
      <w:r w:rsidRPr="002F189F">
        <w:rPr>
          <w:rFonts w:asciiTheme="minorHAnsi" w:eastAsiaTheme="minorHAnsi" w:hAnsiTheme="minorHAnsi" w:cstheme="minorHAnsi"/>
          <w:lang w:eastAsia="en-US"/>
        </w:rPr>
        <w:t>202</w:t>
      </w:r>
      <w:r w:rsidR="005805FA">
        <w:rPr>
          <w:rFonts w:asciiTheme="minorHAnsi" w:eastAsiaTheme="minorHAnsi" w:hAnsiTheme="minorHAnsi" w:cstheme="minorHAnsi"/>
          <w:lang w:eastAsia="en-US"/>
        </w:rPr>
        <w:t>6</w:t>
      </w:r>
      <w:r w:rsidRPr="002F189F">
        <w:rPr>
          <w:rFonts w:asciiTheme="minorHAnsi" w:eastAsiaTheme="minorHAnsi" w:hAnsiTheme="minorHAnsi" w:cstheme="minorHAnsi"/>
          <w:lang w:eastAsia="en-US"/>
        </w:rPr>
        <w:t>-0</w:t>
      </w:r>
      <w:r w:rsidR="005805FA">
        <w:rPr>
          <w:rFonts w:asciiTheme="minorHAnsi" w:eastAsiaTheme="minorHAnsi" w:hAnsiTheme="minorHAnsi" w:cstheme="minorHAnsi"/>
          <w:lang w:eastAsia="en-US"/>
        </w:rPr>
        <w:t>1</w:t>
      </w:r>
      <w:r w:rsidRPr="002F189F">
        <w:rPr>
          <w:rFonts w:asciiTheme="minorHAnsi" w:eastAsiaTheme="minorHAnsi" w:hAnsiTheme="minorHAnsi" w:cstheme="minorHAnsi"/>
          <w:lang w:eastAsia="en-US"/>
        </w:rPr>
        <w:t>-</w:t>
      </w:r>
      <w:r w:rsidR="00CF77D7">
        <w:rPr>
          <w:rFonts w:asciiTheme="minorHAnsi" w:eastAsiaTheme="minorHAnsi" w:hAnsiTheme="minorHAnsi" w:cstheme="minorHAnsi"/>
          <w:lang w:eastAsia="en-US"/>
        </w:rPr>
        <w:t>30</w:t>
      </w:r>
    </w:p>
    <w:sectPr w:rsidR="00D755EF" w:rsidRPr="005805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A5A4A" w14:textId="77777777" w:rsidR="00C14739" w:rsidRDefault="00C14739" w:rsidP="00CE0CBB">
      <w:r>
        <w:separator/>
      </w:r>
    </w:p>
  </w:endnote>
  <w:endnote w:type="continuationSeparator" w:id="0">
    <w:p w14:paraId="52D69DBA" w14:textId="77777777" w:rsidR="00C14739" w:rsidRDefault="00C14739" w:rsidP="00CE0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9BE4D" w14:textId="77777777" w:rsidR="00C14739" w:rsidRDefault="00C14739" w:rsidP="00CE0CBB">
      <w:r>
        <w:separator/>
      </w:r>
    </w:p>
  </w:footnote>
  <w:footnote w:type="continuationSeparator" w:id="0">
    <w:p w14:paraId="102DD565" w14:textId="77777777" w:rsidR="00C14739" w:rsidRDefault="00C14739" w:rsidP="00CE0CBB">
      <w:r>
        <w:continuationSeparator/>
      </w:r>
    </w:p>
  </w:footnote>
  <w:footnote w:id="1">
    <w:p w14:paraId="1990EBF3" w14:textId="7C3A0D0E" w:rsidR="00624359" w:rsidRPr="00624359" w:rsidRDefault="00624359">
      <w:pPr>
        <w:pStyle w:val="FootnoteText"/>
        <w:rPr>
          <w:lang w:val="en-US"/>
        </w:rPr>
      </w:pPr>
      <w:r>
        <w:rPr>
          <w:rStyle w:val="FootnoteReference"/>
        </w:rPr>
        <w:footnoteRef/>
      </w:r>
      <w:r>
        <w:t xml:space="preserve"> </w:t>
      </w:r>
      <w:r>
        <w:rPr>
          <w:lang w:val="en-US"/>
        </w:rPr>
        <w:t>Parties are referred to in this fashion as per the present protocol in matters of this nature to protect the identities of the parties as well as the minor children.</w:t>
      </w:r>
    </w:p>
  </w:footnote>
  <w:footnote w:id="2">
    <w:p w14:paraId="7210872E" w14:textId="2109CFCA" w:rsidR="000E56E0" w:rsidRPr="000E56E0" w:rsidRDefault="000E56E0">
      <w:pPr>
        <w:pStyle w:val="FootnoteText"/>
        <w:rPr>
          <w:lang w:val="en-US"/>
        </w:rPr>
      </w:pPr>
      <w:r>
        <w:rPr>
          <w:rStyle w:val="FootnoteReference"/>
        </w:rPr>
        <w:footnoteRef/>
      </w:r>
      <w:r>
        <w:t xml:space="preserve"> Extract from the </w:t>
      </w:r>
      <w:r>
        <w:rPr>
          <w:lang w:val="en-US"/>
        </w:rPr>
        <w:t>Preamble to the Children’s Act, 38 of 2005, hereinafter referred to as CA.</w:t>
      </w:r>
    </w:p>
  </w:footnote>
  <w:footnote w:id="3">
    <w:p w14:paraId="30063261" w14:textId="4CAB56D3" w:rsidR="00CF77D7" w:rsidRPr="00CF77D7" w:rsidRDefault="00CF77D7">
      <w:pPr>
        <w:pStyle w:val="FootnoteText"/>
        <w:rPr>
          <w:lang w:val="en-US"/>
        </w:rPr>
      </w:pPr>
      <w:r>
        <w:rPr>
          <w:rStyle w:val="FootnoteReference"/>
        </w:rPr>
        <w:footnoteRef/>
      </w:r>
      <w:r>
        <w:t xml:space="preserve"> </w:t>
      </w:r>
      <w:r>
        <w:rPr>
          <w:lang w:val="en-US"/>
        </w:rPr>
        <w:t>[2025] ZAECQBHC 34 (2 September 2025) at para 13 and 14</w:t>
      </w:r>
    </w:p>
  </w:footnote>
  <w:footnote w:id="4">
    <w:p w14:paraId="472EFEC5" w14:textId="5E6A90A7" w:rsidR="00624359" w:rsidRPr="00624359" w:rsidRDefault="00624359">
      <w:pPr>
        <w:pStyle w:val="FootnoteText"/>
        <w:rPr>
          <w:lang w:val="en-US"/>
        </w:rPr>
      </w:pPr>
      <w:r>
        <w:rPr>
          <w:rStyle w:val="FootnoteReference"/>
        </w:rPr>
        <w:footnoteRef/>
      </w:r>
      <w:r>
        <w:t xml:space="preserve"> </w:t>
      </w:r>
      <w:r>
        <w:rPr>
          <w:lang w:val="en-US"/>
        </w:rPr>
        <w:t xml:space="preserve">The exact address is known to the court but excluded in line with what is held in fn 1 </w:t>
      </w:r>
      <w:r w:rsidRPr="00624359">
        <w:rPr>
          <w:i/>
          <w:lang w:val="en-US"/>
        </w:rPr>
        <w:t>supra</w:t>
      </w:r>
      <w:r>
        <w:rPr>
          <w:lang w:val="en-US"/>
        </w:rPr>
        <w:t>.</w:t>
      </w:r>
    </w:p>
  </w:footnote>
  <w:footnote w:id="5">
    <w:p w14:paraId="570D968D" w14:textId="58915F06" w:rsidR="00624359" w:rsidRPr="00624359" w:rsidRDefault="00624359">
      <w:pPr>
        <w:pStyle w:val="FootnoteText"/>
        <w:rPr>
          <w:lang w:val="en-US"/>
        </w:rPr>
      </w:pPr>
      <w:r>
        <w:rPr>
          <w:rStyle w:val="FootnoteReference"/>
        </w:rPr>
        <w:footnoteRef/>
      </w:r>
      <w:r>
        <w:t xml:space="preserve"> </w:t>
      </w:r>
      <w:r>
        <w:rPr>
          <w:lang w:val="en-US"/>
        </w:rPr>
        <w:t>Due to what is held in fn 1 as well as for simplifying the record, I will refer to Applicant as such throughout the course of this judgment.</w:t>
      </w:r>
    </w:p>
  </w:footnote>
  <w:footnote w:id="6">
    <w:p w14:paraId="3862A206" w14:textId="0AB8C16A" w:rsidR="00624359" w:rsidRPr="00624359" w:rsidRDefault="00624359">
      <w:pPr>
        <w:pStyle w:val="FootnoteText"/>
        <w:rPr>
          <w:lang w:val="en-US"/>
        </w:rPr>
      </w:pPr>
      <w:r>
        <w:rPr>
          <w:rStyle w:val="FootnoteReference"/>
        </w:rPr>
        <w:footnoteRef/>
      </w:r>
      <w:r>
        <w:t xml:space="preserve"> </w:t>
      </w:r>
      <w:r>
        <w:rPr>
          <w:lang w:val="en-US"/>
        </w:rPr>
        <w:t xml:space="preserve">See fn 1 and 4 supra which apply mutatis mutandis and I will refer simply to Respondent throughout this judgment as the other Respondents </w:t>
      </w:r>
      <w:r w:rsidR="008724E4">
        <w:rPr>
          <w:lang w:val="en-US"/>
        </w:rPr>
        <w:t>recorded were not part of these proceedings and there is no need for alternate reference.</w:t>
      </w:r>
    </w:p>
  </w:footnote>
  <w:footnote w:id="7">
    <w:p w14:paraId="27EC221D" w14:textId="6A7C30AD" w:rsidR="00F7666B" w:rsidRPr="00F7666B" w:rsidRDefault="00F7666B">
      <w:pPr>
        <w:pStyle w:val="FootnoteText"/>
        <w:rPr>
          <w:lang w:val="en-US"/>
        </w:rPr>
      </w:pPr>
      <w:r>
        <w:rPr>
          <w:rStyle w:val="FootnoteReference"/>
        </w:rPr>
        <w:footnoteRef/>
      </w:r>
      <w:r>
        <w:t xml:space="preserve"> </w:t>
      </w:r>
      <w:r>
        <w:rPr>
          <w:lang w:val="en-US"/>
        </w:rPr>
        <w:t>Herein after simply referred to as nanny with respect owing to such person and position.</w:t>
      </w:r>
    </w:p>
  </w:footnote>
  <w:footnote w:id="8">
    <w:p w14:paraId="02C6F5D9" w14:textId="5B577CA3" w:rsidR="00E53A42" w:rsidRPr="00E53A42" w:rsidRDefault="00E53A42">
      <w:pPr>
        <w:pStyle w:val="FootnoteText"/>
        <w:rPr>
          <w:lang w:val="en-US"/>
        </w:rPr>
      </w:pPr>
      <w:r>
        <w:rPr>
          <w:rStyle w:val="FootnoteReference"/>
        </w:rPr>
        <w:footnoteRef/>
      </w:r>
      <w:r>
        <w:t xml:space="preserve"> </w:t>
      </w:r>
      <w:r>
        <w:rPr>
          <w:lang w:val="en-US"/>
        </w:rPr>
        <w:t>South African Police Services</w:t>
      </w:r>
    </w:p>
  </w:footnote>
  <w:footnote w:id="9">
    <w:p w14:paraId="38AA9516" w14:textId="401F1212" w:rsidR="00E53A42" w:rsidRPr="00E53A42" w:rsidRDefault="00E53A42">
      <w:pPr>
        <w:pStyle w:val="FootnoteText"/>
        <w:rPr>
          <w:lang w:val="en-US"/>
        </w:rPr>
      </w:pPr>
      <w:r>
        <w:rPr>
          <w:rStyle w:val="FootnoteReference"/>
        </w:rPr>
        <w:footnoteRef/>
      </w:r>
      <w:r>
        <w:t xml:space="preserve"> Domestic Violence </w:t>
      </w:r>
      <w:r>
        <w:rPr>
          <w:lang w:val="en-US"/>
        </w:rPr>
        <w:t>Act 116 of 1998, as amended, and herein after referred to as in the main body hereof.</w:t>
      </w:r>
    </w:p>
  </w:footnote>
  <w:footnote w:id="10">
    <w:p w14:paraId="1192187F" w14:textId="2308EAEC" w:rsidR="00B65466" w:rsidRPr="00B65466" w:rsidRDefault="00B65466">
      <w:pPr>
        <w:pStyle w:val="FootnoteText"/>
        <w:rPr>
          <w:lang w:val="en-US"/>
        </w:rPr>
      </w:pPr>
      <w:r>
        <w:rPr>
          <w:rStyle w:val="FootnoteReference"/>
        </w:rPr>
        <w:footnoteRef/>
      </w:r>
      <w:r>
        <w:t xml:space="preserve"> </w:t>
      </w:r>
      <w:r>
        <w:rPr>
          <w:lang w:val="en-US"/>
        </w:rPr>
        <w:t>Protection from Harassment Act 17 of 2011, as amended</w:t>
      </w:r>
    </w:p>
  </w:footnote>
  <w:footnote w:id="11">
    <w:p w14:paraId="53E1293C" w14:textId="6A57B052" w:rsidR="00E33391" w:rsidRPr="00E33391" w:rsidRDefault="00E33391">
      <w:pPr>
        <w:pStyle w:val="FootnoteText"/>
        <w:rPr>
          <w:lang w:val="en-US"/>
        </w:rPr>
      </w:pPr>
      <w:r>
        <w:rPr>
          <w:rStyle w:val="FootnoteReference"/>
        </w:rPr>
        <w:footnoteRef/>
      </w:r>
      <w:r>
        <w:t xml:space="preserve"> </w:t>
      </w:r>
      <w:r>
        <w:rPr>
          <w:lang w:val="en-US"/>
        </w:rPr>
        <w:t>Referred to as such for ease of convenience.</w:t>
      </w:r>
    </w:p>
  </w:footnote>
  <w:footnote w:id="12">
    <w:p w14:paraId="58DCBDA5" w14:textId="2829347B" w:rsidR="00006E91" w:rsidRPr="00006E91" w:rsidRDefault="00006E91">
      <w:pPr>
        <w:pStyle w:val="FootnoteText"/>
        <w:rPr>
          <w:lang w:val="en-US"/>
        </w:rPr>
      </w:pPr>
      <w:r>
        <w:rPr>
          <w:rStyle w:val="FootnoteReference"/>
        </w:rPr>
        <w:footnoteRef/>
      </w:r>
      <w:r>
        <w:t xml:space="preserve"> </w:t>
      </w:r>
      <w:r>
        <w:rPr>
          <w:lang w:val="en-US"/>
        </w:rPr>
        <w:t>Herein after referred to as Zomzi in line with such address in the papers filed by Applicant.</w:t>
      </w:r>
    </w:p>
  </w:footnote>
  <w:footnote w:id="13">
    <w:p w14:paraId="071D5137" w14:textId="71413C78" w:rsidR="00E33391" w:rsidRPr="00E33391" w:rsidRDefault="00E33391">
      <w:pPr>
        <w:pStyle w:val="FootnoteText"/>
        <w:rPr>
          <w:lang w:val="en-US"/>
        </w:rPr>
      </w:pPr>
      <w:r>
        <w:rPr>
          <w:rStyle w:val="FootnoteReference"/>
        </w:rPr>
        <w:footnoteRef/>
      </w:r>
      <w:r>
        <w:t xml:space="preserve"> </w:t>
      </w:r>
      <w:r>
        <w:rPr>
          <w:lang w:val="en-US"/>
        </w:rPr>
        <w:t>King Sabat</w:t>
      </w:r>
      <w:r w:rsidR="00C35499">
        <w:rPr>
          <w:lang w:val="en-US"/>
        </w:rPr>
        <w:t>h</w:t>
      </w:r>
      <w:r>
        <w:rPr>
          <w:lang w:val="en-US"/>
        </w:rPr>
        <w:t>a Dalindyebo Municipality</w:t>
      </w:r>
      <w:r w:rsidR="00C35499">
        <w:rPr>
          <w:lang w:val="en-US"/>
        </w:rPr>
        <w:t>, Mthatha</w:t>
      </w:r>
    </w:p>
  </w:footnote>
  <w:footnote w:id="14">
    <w:p w14:paraId="6E6FF9E6" w14:textId="33189A23" w:rsidR="004C1011" w:rsidRPr="004C1011" w:rsidRDefault="004C1011">
      <w:pPr>
        <w:pStyle w:val="FootnoteText"/>
        <w:rPr>
          <w:lang w:val="en-US"/>
        </w:rPr>
      </w:pPr>
      <w:r>
        <w:rPr>
          <w:rStyle w:val="FootnoteReference"/>
        </w:rPr>
        <w:footnoteRef/>
      </w:r>
      <w:r>
        <w:t xml:space="preserve"> Constitution of the Republic of South Africa, </w:t>
      </w:r>
      <w:r>
        <w:rPr>
          <w:lang w:val="en-US"/>
        </w:rPr>
        <w:t>108 of 1996, herein after referred to as  Constitution.</w:t>
      </w:r>
    </w:p>
  </w:footnote>
  <w:footnote w:id="15">
    <w:p w14:paraId="2AD304CF" w14:textId="13B6333C" w:rsidR="004C1011" w:rsidRPr="004C1011" w:rsidRDefault="004C1011">
      <w:pPr>
        <w:pStyle w:val="FootnoteText"/>
        <w:rPr>
          <w:lang w:val="en-US"/>
        </w:rPr>
      </w:pPr>
      <w:r>
        <w:rPr>
          <w:rStyle w:val="FootnoteReference"/>
        </w:rPr>
        <w:footnoteRef/>
      </w:r>
      <w:r>
        <w:t xml:space="preserve"> S.28 Constitution</w:t>
      </w:r>
    </w:p>
  </w:footnote>
  <w:footnote w:id="16">
    <w:p w14:paraId="783A92C5" w14:textId="6B55027A" w:rsidR="005126A1" w:rsidRPr="005126A1" w:rsidRDefault="005126A1">
      <w:pPr>
        <w:pStyle w:val="FootnoteText"/>
        <w:rPr>
          <w:lang w:val="en-US"/>
        </w:rPr>
      </w:pPr>
      <w:r>
        <w:rPr>
          <w:rStyle w:val="FootnoteReference"/>
        </w:rPr>
        <w:footnoteRef/>
      </w:r>
      <w:r>
        <w:t xml:space="preserve"> </w:t>
      </w:r>
      <w:r>
        <w:rPr>
          <w:lang w:val="en-US"/>
        </w:rPr>
        <w:t>S</w:t>
      </w:r>
      <w:r w:rsidR="00BD7367">
        <w:rPr>
          <w:lang w:val="en-US"/>
        </w:rPr>
        <w:t>S</w:t>
      </w:r>
      <w:r>
        <w:rPr>
          <w:lang w:val="en-US"/>
        </w:rPr>
        <w:t>.33</w:t>
      </w:r>
      <w:r w:rsidR="00BD7367">
        <w:rPr>
          <w:lang w:val="en-US"/>
        </w:rPr>
        <w:t>, 7 and 9 rw 34 and 35</w:t>
      </w:r>
      <w:r>
        <w:rPr>
          <w:lang w:val="en-US"/>
        </w:rPr>
        <w:t xml:space="preserve"> CA; M v V; MB v NB 2010 (3) SA 220 (GSJ); MM v AV Unreported WCCHC 2901/2010 16/11/201</w:t>
      </w:r>
      <w:r w:rsidR="00BD7367">
        <w:rPr>
          <w:lang w:val="en-US"/>
        </w:rPr>
        <w:t>1; See also S.22 rw S.18 wrt PRR Agreement</w:t>
      </w:r>
    </w:p>
  </w:footnote>
  <w:footnote w:id="17">
    <w:p w14:paraId="1DE87739" w14:textId="3FA11B30" w:rsidR="005126A1" w:rsidRPr="005126A1" w:rsidRDefault="005126A1">
      <w:pPr>
        <w:pStyle w:val="FootnoteText"/>
        <w:rPr>
          <w:lang w:val="en-US"/>
        </w:rPr>
      </w:pPr>
      <w:r>
        <w:rPr>
          <w:rStyle w:val="FootnoteReference"/>
        </w:rPr>
        <w:footnoteRef/>
      </w:r>
      <w:r>
        <w:t xml:space="preserve"> </w:t>
      </w:r>
      <w:r>
        <w:rPr>
          <w:lang w:val="en-US"/>
        </w:rPr>
        <w:t xml:space="preserve">S.70 CA read with JR 13 (Justice Regulations) as point of reference </w:t>
      </w:r>
    </w:p>
  </w:footnote>
  <w:footnote w:id="18">
    <w:p w14:paraId="422BAC6E" w14:textId="38890E8B" w:rsidR="000679CF" w:rsidRPr="000679CF" w:rsidRDefault="000679CF">
      <w:pPr>
        <w:pStyle w:val="FootnoteText"/>
        <w:rPr>
          <w:lang w:val="en-US"/>
        </w:rPr>
      </w:pPr>
      <w:r>
        <w:rPr>
          <w:rStyle w:val="FootnoteReference"/>
        </w:rPr>
        <w:footnoteRef/>
      </w:r>
      <w:r>
        <w:t xml:space="preserve"> </w:t>
      </w:r>
      <w:r>
        <w:rPr>
          <w:lang w:val="en-US"/>
        </w:rPr>
        <w:t>Magistrates’ Courts Act, 32 of 1944</w:t>
      </w:r>
    </w:p>
  </w:footnote>
  <w:footnote w:id="19">
    <w:p w14:paraId="63A99A0F" w14:textId="2E24E3E6" w:rsidR="00CF77D7" w:rsidRPr="00CF77D7" w:rsidRDefault="00CF77D7">
      <w:pPr>
        <w:pStyle w:val="FootnoteText"/>
        <w:rPr>
          <w:lang w:val="en-US"/>
        </w:rPr>
      </w:pPr>
      <w:r>
        <w:rPr>
          <w:rStyle w:val="FootnoteReference"/>
        </w:rPr>
        <w:footnoteRef/>
      </w:r>
      <w:r>
        <w:t xml:space="preserve"> </w:t>
      </w:r>
      <w:r>
        <w:rPr>
          <w:lang w:val="en-US"/>
        </w:rPr>
        <w:t>Ibid (fn 3) at para 15 through 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8440A"/>
    <w:multiLevelType w:val="hybridMultilevel"/>
    <w:tmpl w:val="071869A0"/>
    <w:lvl w:ilvl="0" w:tplc="1C09000F">
      <w:start w:val="1"/>
      <w:numFmt w:val="decimal"/>
      <w:lvlText w:val="%1."/>
      <w:lvlJc w:val="left"/>
      <w:pPr>
        <w:ind w:left="990" w:hanging="360"/>
      </w:pPr>
    </w:lvl>
    <w:lvl w:ilvl="1" w:tplc="1C090019" w:tentative="1">
      <w:start w:val="1"/>
      <w:numFmt w:val="lowerLetter"/>
      <w:lvlText w:val="%2."/>
      <w:lvlJc w:val="left"/>
      <w:pPr>
        <w:ind w:left="1710" w:hanging="360"/>
      </w:pPr>
    </w:lvl>
    <w:lvl w:ilvl="2" w:tplc="1C09001B" w:tentative="1">
      <w:start w:val="1"/>
      <w:numFmt w:val="lowerRoman"/>
      <w:lvlText w:val="%3."/>
      <w:lvlJc w:val="right"/>
      <w:pPr>
        <w:ind w:left="2430" w:hanging="180"/>
      </w:pPr>
    </w:lvl>
    <w:lvl w:ilvl="3" w:tplc="1C09000F" w:tentative="1">
      <w:start w:val="1"/>
      <w:numFmt w:val="decimal"/>
      <w:lvlText w:val="%4."/>
      <w:lvlJc w:val="left"/>
      <w:pPr>
        <w:ind w:left="3150" w:hanging="360"/>
      </w:pPr>
    </w:lvl>
    <w:lvl w:ilvl="4" w:tplc="1C090019" w:tentative="1">
      <w:start w:val="1"/>
      <w:numFmt w:val="lowerLetter"/>
      <w:lvlText w:val="%5."/>
      <w:lvlJc w:val="left"/>
      <w:pPr>
        <w:ind w:left="3870" w:hanging="360"/>
      </w:pPr>
    </w:lvl>
    <w:lvl w:ilvl="5" w:tplc="1C09001B" w:tentative="1">
      <w:start w:val="1"/>
      <w:numFmt w:val="lowerRoman"/>
      <w:lvlText w:val="%6."/>
      <w:lvlJc w:val="right"/>
      <w:pPr>
        <w:ind w:left="4590" w:hanging="180"/>
      </w:pPr>
    </w:lvl>
    <w:lvl w:ilvl="6" w:tplc="1C09000F" w:tentative="1">
      <w:start w:val="1"/>
      <w:numFmt w:val="decimal"/>
      <w:lvlText w:val="%7."/>
      <w:lvlJc w:val="left"/>
      <w:pPr>
        <w:ind w:left="5310" w:hanging="360"/>
      </w:pPr>
    </w:lvl>
    <w:lvl w:ilvl="7" w:tplc="1C090019" w:tentative="1">
      <w:start w:val="1"/>
      <w:numFmt w:val="lowerLetter"/>
      <w:lvlText w:val="%8."/>
      <w:lvlJc w:val="left"/>
      <w:pPr>
        <w:ind w:left="6030" w:hanging="360"/>
      </w:pPr>
    </w:lvl>
    <w:lvl w:ilvl="8" w:tplc="1C09001B" w:tentative="1">
      <w:start w:val="1"/>
      <w:numFmt w:val="lowerRoman"/>
      <w:lvlText w:val="%9."/>
      <w:lvlJc w:val="right"/>
      <w:pPr>
        <w:ind w:left="6750" w:hanging="180"/>
      </w:pPr>
    </w:lvl>
  </w:abstractNum>
  <w:abstractNum w:abstractNumId="1" w15:restartNumberingAfterBreak="0">
    <w:nsid w:val="7D9C258C"/>
    <w:multiLevelType w:val="multilevel"/>
    <w:tmpl w:val="7DDCDD62"/>
    <w:lvl w:ilvl="0">
      <w:start w:val="1"/>
      <w:numFmt w:val="decimal"/>
      <w:lvlText w:val="[%1]"/>
      <w:lvlJc w:val="left"/>
      <w:pPr>
        <w:ind w:left="1080" w:hanging="360"/>
      </w:pPr>
      <w:rPr>
        <w:rFonts w:cs="Times New Roman" w:hint="default"/>
        <w:b w:val="0"/>
        <w:bCs w:val="0"/>
        <w:i w:val="0"/>
        <w:iCs w:val="0"/>
        <w:color w:val="auto"/>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0CBB"/>
    <w:rsid w:val="00006E91"/>
    <w:rsid w:val="0003533B"/>
    <w:rsid w:val="00062682"/>
    <w:rsid w:val="00064B4D"/>
    <w:rsid w:val="000679CF"/>
    <w:rsid w:val="000B4172"/>
    <w:rsid w:val="000D274B"/>
    <w:rsid w:val="000E2ECC"/>
    <w:rsid w:val="000E56E0"/>
    <w:rsid w:val="000F3771"/>
    <w:rsid w:val="00100E5B"/>
    <w:rsid w:val="00134F02"/>
    <w:rsid w:val="00156BB8"/>
    <w:rsid w:val="00166D19"/>
    <w:rsid w:val="001710C6"/>
    <w:rsid w:val="001E39BA"/>
    <w:rsid w:val="001F4732"/>
    <w:rsid w:val="00244233"/>
    <w:rsid w:val="00262567"/>
    <w:rsid w:val="002F189F"/>
    <w:rsid w:val="002F4A85"/>
    <w:rsid w:val="0031684E"/>
    <w:rsid w:val="0031694A"/>
    <w:rsid w:val="0036678D"/>
    <w:rsid w:val="003E2147"/>
    <w:rsid w:val="003E739B"/>
    <w:rsid w:val="00403927"/>
    <w:rsid w:val="0041248F"/>
    <w:rsid w:val="00416EEC"/>
    <w:rsid w:val="004363A2"/>
    <w:rsid w:val="00452D41"/>
    <w:rsid w:val="00475796"/>
    <w:rsid w:val="00486437"/>
    <w:rsid w:val="004C1011"/>
    <w:rsid w:val="005126A1"/>
    <w:rsid w:val="00514EE7"/>
    <w:rsid w:val="005177A2"/>
    <w:rsid w:val="00552E0F"/>
    <w:rsid w:val="005805FA"/>
    <w:rsid w:val="005B186A"/>
    <w:rsid w:val="00615DC9"/>
    <w:rsid w:val="00620DD9"/>
    <w:rsid w:val="00624359"/>
    <w:rsid w:val="006261D1"/>
    <w:rsid w:val="00657D59"/>
    <w:rsid w:val="00685636"/>
    <w:rsid w:val="006B5E25"/>
    <w:rsid w:val="006F6FA4"/>
    <w:rsid w:val="0077742B"/>
    <w:rsid w:val="00783FA9"/>
    <w:rsid w:val="00804FF0"/>
    <w:rsid w:val="00830DD9"/>
    <w:rsid w:val="008662A8"/>
    <w:rsid w:val="008724E4"/>
    <w:rsid w:val="008C2F3B"/>
    <w:rsid w:val="00911D90"/>
    <w:rsid w:val="009361F5"/>
    <w:rsid w:val="009D6011"/>
    <w:rsid w:val="00A374C7"/>
    <w:rsid w:val="00B65466"/>
    <w:rsid w:val="00B71783"/>
    <w:rsid w:val="00BA33A1"/>
    <w:rsid w:val="00BD7367"/>
    <w:rsid w:val="00C14739"/>
    <w:rsid w:val="00C31230"/>
    <w:rsid w:val="00C35499"/>
    <w:rsid w:val="00CB4A56"/>
    <w:rsid w:val="00CC0C35"/>
    <w:rsid w:val="00CD3C9B"/>
    <w:rsid w:val="00CD3F41"/>
    <w:rsid w:val="00CE0CBB"/>
    <w:rsid w:val="00CF77D7"/>
    <w:rsid w:val="00D13301"/>
    <w:rsid w:val="00D710A7"/>
    <w:rsid w:val="00D755EF"/>
    <w:rsid w:val="00DD08FD"/>
    <w:rsid w:val="00E33391"/>
    <w:rsid w:val="00E345B8"/>
    <w:rsid w:val="00E53A42"/>
    <w:rsid w:val="00E85AAA"/>
    <w:rsid w:val="00EF51C3"/>
    <w:rsid w:val="00F24275"/>
    <w:rsid w:val="00F7666B"/>
    <w:rsid w:val="00FA67F7"/>
    <w:rsid w:val="00FA7B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41B17"/>
  <w15:docId w15:val="{4F34FE21-5A32-4553-AAE2-B4E28DA2B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0CBB"/>
    <w:pPr>
      <w:spacing w:after="0" w:line="240" w:lineRule="auto"/>
    </w:pPr>
    <w:rPr>
      <w:rFonts w:ascii="Times New Roman" w:eastAsia="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0CBB"/>
    <w:rPr>
      <w:rFonts w:ascii="Tahoma" w:hAnsi="Tahoma" w:cs="Tahoma"/>
      <w:sz w:val="16"/>
      <w:szCs w:val="16"/>
    </w:rPr>
  </w:style>
  <w:style w:type="character" w:customStyle="1" w:styleId="BalloonTextChar">
    <w:name w:val="Balloon Text Char"/>
    <w:basedOn w:val="DefaultParagraphFont"/>
    <w:link w:val="BalloonText"/>
    <w:uiPriority w:val="99"/>
    <w:semiHidden/>
    <w:rsid w:val="00CE0CBB"/>
    <w:rPr>
      <w:rFonts w:ascii="Tahoma" w:eastAsia="Times New Roman" w:hAnsi="Tahoma" w:cs="Tahoma"/>
      <w:sz w:val="16"/>
      <w:szCs w:val="16"/>
      <w:lang w:eastAsia="en-ZA"/>
    </w:rPr>
  </w:style>
  <w:style w:type="paragraph" w:styleId="Header">
    <w:name w:val="header"/>
    <w:basedOn w:val="Normal"/>
    <w:link w:val="HeaderChar"/>
    <w:uiPriority w:val="99"/>
    <w:unhideWhenUsed/>
    <w:rsid w:val="00CE0CBB"/>
    <w:pPr>
      <w:tabs>
        <w:tab w:val="center" w:pos="4513"/>
        <w:tab w:val="right" w:pos="9026"/>
      </w:tabs>
    </w:pPr>
  </w:style>
  <w:style w:type="character" w:customStyle="1" w:styleId="HeaderChar">
    <w:name w:val="Header Char"/>
    <w:basedOn w:val="DefaultParagraphFont"/>
    <w:link w:val="Header"/>
    <w:uiPriority w:val="99"/>
    <w:rsid w:val="00CE0CBB"/>
    <w:rPr>
      <w:rFonts w:ascii="Times New Roman" w:eastAsia="Times New Roman" w:hAnsi="Times New Roman" w:cs="Times New Roman"/>
      <w:sz w:val="24"/>
      <w:szCs w:val="24"/>
      <w:lang w:eastAsia="en-ZA"/>
    </w:rPr>
  </w:style>
  <w:style w:type="paragraph" w:styleId="Footer">
    <w:name w:val="footer"/>
    <w:basedOn w:val="Normal"/>
    <w:link w:val="FooterChar"/>
    <w:uiPriority w:val="99"/>
    <w:unhideWhenUsed/>
    <w:rsid w:val="00CE0CBB"/>
    <w:pPr>
      <w:tabs>
        <w:tab w:val="center" w:pos="4513"/>
        <w:tab w:val="right" w:pos="9026"/>
      </w:tabs>
    </w:pPr>
  </w:style>
  <w:style w:type="character" w:customStyle="1" w:styleId="FooterChar">
    <w:name w:val="Footer Char"/>
    <w:basedOn w:val="DefaultParagraphFont"/>
    <w:link w:val="Footer"/>
    <w:uiPriority w:val="99"/>
    <w:rsid w:val="00CE0CBB"/>
    <w:rPr>
      <w:rFonts w:ascii="Times New Roman" w:eastAsia="Times New Roman" w:hAnsi="Times New Roman" w:cs="Times New Roman"/>
      <w:sz w:val="24"/>
      <w:szCs w:val="24"/>
      <w:lang w:eastAsia="en-ZA"/>
    </w:rPr>
  </w:style>
  <w:style w:type="paragraph" w:styleId="FootnoteText">
    <w:name w:val="footnote text"/>
    <w:basedOn w:val="Normal"/>
    <w:link w:val="FootnoteTextChar"/>
    <w:uiPriority w:val="99"/>
    <w:semiHidden/>
    <w:unhideWhenUsed/>
    <w:rsid w:val="000E56E0"/>
    <w:rPr>
      <w:sz w:val="20"/>
      <w:szCs w:val="20"/>
    </w:rPr>
  </w:style>
  <w:style w:type="character" w:customStyle="1" w:styleId="FootnoteTextChar">
    <w:name w:val="Footnote Text Char"/>
    <w:basedOn w:val="DefaultParagraphFont"/>
    <w:link w:val="FootnoteText"/>
    <w:uiPriority w:val="99"/>
    <w:semiHidden/>
    <w:rsid w:val="000E56E0"/>
    <w:rPr>
      <w:rFonts w:ascii="Times New Roman" w:eastAsia="Times New Roman" w:hAnsi="Times New Roman" w:cs="Times New Roman"/>
      <w:sz w:val="20"/>
      <w:szCs w:val="20"/>
      <w:lang w:eastAsia="en-ZA"/>
    </w:rPr>
  </w:style>
  <w:style w:type="character" w:styleId="FootnoteReference">
    <w:name w:val="footnote reference"/>
    <w:basedOn w:val="DefaultParagraphFont"/>
    <w:uiPriority w:val="99"/>
    <w:semiHidden/>
    <w:unhideWhenUsed/>
    <w:rsid w:val="000E56E0"/>
    <w:rPr>
      <w:vertAlign w:val="superscript"/>
    </w:rPr>
  </w:style>
  <w:style w:type="paragraph" w:styleId="ListParagraph">
    <w:name w:val="List Paragraph"/>
    <w:basedOn w:val="Normal"/>
    <w:uiPriority w:val="34"/>
    <w:qFormat/>
    <w:rsid w:val="001F47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63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AA1D-8888-498B-A029-EC281C86F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27</Pages>
  <Words>7327</Words>
  <Characters>41766</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Muller Wayne</dc:creator>
  <cp:lastModifiedBy>Muller Wayne</cp:lastModifiedBy>
  <cp:revision>16</cp:revision>
  <cp:lastPrinted>2026-01-30T05:46:00Z</cp:lastPrinted>
  <dcterms:created xsi:type="dcterms:W3CDTF">2026-01-27T17:54:00Z</dcterms:created>
  <dcterms:modified xsi:type="dcterms:W3CDTF">2026-01-30T09:25:00Z</dcterms:modified>
</cp:coreProperties>
</file>